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440601-2024-02171</w:t>
      </w:r>
    </w:p>
    <w:p>
      <w:pPr>
        <w:pStyle w:val="null3"/>
        <w:jc w:val="center"/>
        <w:outlineLvl w:val="3"/>
      </w:pPr>
      <w:r>
        <w:rPr>
          <w:sz w:val="24"/>
          <w:b/>
        </w:rPr>
        <w:t>采购项目编号：</w:t>
      </w:r>
      <w:r>
        <w:rPr>
          <w:sz w:val="24"/>
          <w:b/>
        </w:rPr>
        <w:t>GDZC—24GZ075</w:t>
      </w:r>
    </w:p>
    <w:p>
      <w:pPr>
        <w:pStyle w:val="null3"/>
        <w:jc w:val="center"/>
        <w:outlineLvl w:val="3"/>
      </w:pPr>
      <w:r>
        <w:rPr>
          <w:sz w:val="24"/>
          <w:b/>
        </w:rPr>
        <w:t>项目名称：</w:t>
      </w:r>
      <w:r>
        <w:rPr>
          <w:sz w:val="24"/>
          <w:b/>
        </w:rPr>
        <w:t>一院两区信息化建设(二次)</w:t>
      </w:r>
    </w:p>
    <w:p>
      <w:pPr>
        <w:pStyle w:val="null3"/>
        <w:jc w:val="center"/>
        <w:outlineLvl w:val="3"/>
      </w:pPr>
      <w:r>
        <w:rPr>
          <w:sz w:val="24"/>
          <w:b/>
        </w:rPr>
        <w:t>采购人：</w:t>
      </w:r>
      <w:r>
        <w:rPr>
          <w:sz w:val="24"/>
          <w:b/>
        </w:rPr>
        <w:t>佛山市第二人民医院</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广东中采招标有限公司</w:t>
      </w:r>
      <w:r>
        <w:rPr/>
        <w:t>受</w:t>
      </w:r>
      <w:r>
        <w:rPr/>
        <w:t>佛山市第二人民医院</w:t>
      </w:r>
      <w:r>
        <w:rPr/>
        <w:t>的委托，采用</w:t>
      </w:r>
      <w:r>
        <w:rPr/>
        <w:t>公开招标</w:t>
      </w:r>
      <w:r>
        <w:rPr/>
        <w:t>方式组织采购</w:t>
      </w:r>
      <w:r>
        <w:rPr/>
        <w:t>一院两区信息化建设(二次)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一院两区信息化建设(二次)</w:t>
      </w:r>
    </w:p>
    <w:p>
      <w:pPr>
        <w:pStyle w:val="null3"/>
        <w:ind w:firstLine="480"/>
      </w:pPr>
      <w:r>
        <w:rPr/>
        <w:t>采购计划编号：</w:t>
      </w:r>
      <w:r>
        <w:rPr/>
        <w:t>440601-2024-02171</w:t>
      </w:r>
    </w:p>
    <w:p>
      <w:pPr>
        <w:pStyle w:val="null3"/>
        <w:ind w:firstLine="480"/>
      </w:pPr>
      <w:r>
        <w:rPr/>
        <w:t>采购项目编号：</w:t>
      </w:r>
      <w:r>
        <w:rPr/>
        <w:t>GDZC—24GZ075</w:t>
      </w:r>
    </w:p>
    <w:p>
      <w:pPr>
        <w:pStyle w:val="null3"/>
        <w:ind w:firstLine="480"/>
      </w:pPr>
      <w:r>
        <w:rPr/>
        <w:t>采购方式：</w:t>
      </w:r>
      <w:r>
        <w:rPr/>
        <w:t>公开招标</w:t>
      </w:r>
    </w:p>
    <w:p>
      <w:pPr>
        <w:pStyle w:val="null3"/>
        <w:ind w:firstLine="480"/>
      </w:pPr>
      <w:r>
        <w:rPr/>
        <w:t>预算金额：</w:t>
      </w:r>
      <w:r>
        <w:rPr/>
        <w:t>950,000.00</w:t>
      </w:r>
      <w:r>
        <w:rPr/>
        <w:t>元</w:t>
      </w:r>
    </w:p>
    <w:p>
      <w:pPr>
        <w:pStyle w:val="null3"/>
        <w:outlineLvl w:val="3"/>
      </w:pPr>
      <w:r>
        <w:rPr>
          <w:sz w:val="24"/>
          <w:b/>
        </w:rPr>
        <w:t>2.项目内容及需求情况（采购项目技术规格、参数及要求）</w:t>
      </w:r>
    </w:p>
    <w:p>
      <w:pPr>
        <w:pStyle w:val="null3"/>
      </w:pPr>
      <w:r>
        <w:rPr/>
        <w:t>采购包1(电子签名系统):</w:t>
      </w:r>
    </w:p>
    <w:p>
      <w:pPr>
        <w:pStyle w:val="null3"/>
      </w:pPr>
      <w:r>
        <w:rPr/>
        <w:t>采购包预算金额：950,000.00元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支撑软件开发服务</w:t>
            </w:r>
          </w:p>
        </w:tc>
        <w:tc>
          <w:tcPr>
            <w:tcW w:type="dxa" w:w="2136"/>
          </w:tcPr>
          <w:p>
            <w:pPr>
              <w:pStyle w:val="null3"/>
            </w:pPr>
            <w:r>
              <w:rPr/>
              <w:t>电子签名系统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合同履行期限：自合同签订之日起350个日历天内完成项目验收。</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p>
      <w:pPr>
        <w:pStyle w:val="null3"/>
      </w:pPr>
      <w:r>
        <w:rP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p>
      <w:pPr>
        <w:pStyle w:val="null3"/>
      </w:pPr>
      <w:r>
        <w:rPr/>
        <w:t>3）具有良好的商业信誉和健全的财务会计制度：财务会计制度情况，须提供下列任一项证明材料：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p>
      <w:pPr>
        <w:pStyle w:val="null3"/>
      </w:pPr>
      <w:r>
        <w:rPr/>
        <w:t>4）履行合同所必需的设备和专业技术能力：提供“具有履行合同所必需的设备和专业技术能力”的承诺函，格式自拟。</w:t>
      </w:r>
    </w:p>
    <w:p>
      <w:pPr>
        <w:pStyle w:val="null3"/>
      </w:pPr>
      <w:r>
        <w:rPr/>
        <w:t>5）参加采购活动前3年内，在经营活动中没有重大违法记录：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采购包1（电子签名系统）：</w:t>
      </w:r>
      <w:r>
        <w:rPr/>
        <w:t>本采购包不属于专门面向中小企业采购的项目。本采购包采购标的对应的中小企业划分标准所属行业为：软件和信息技术服务业。</w:t>
      </w:r>
    </w:p>
    <w:p>
      <w:pPr>
        <w:pStyle w:val="null3"/>
        <w:outlineLvl w:val="3"/>
      </w:pPr>
      <w:r>
        <w:rPr>
          <w:sz w:val="24"/>
          <w:b/>
        </w:rPr>
        <w:t>3.本项目特定的资格要求：</w:t>
      </w:r>
    </w:p>
    <w:p>
      <w:pPr>
        <w:pStyle w:val="null3"/>
      </w:pPr>
      <w:r>
        <w:rPr/>
        <w:t>采购包1（电子签名系统）：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广东省公共资源交易平台（https://ygp.gdzwfw.gov.cn/#/44/index）及采购代理机构（http://www.gdzczb.com/）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佛山市第二人民医院</w:t>
      </w:r>
    </w:p>
    <w:p>
      <w:pPr>
        <w:pStyle w:val="null3"/>
        <w:ind w:firstLine="480"/>
      </w:pPr>
      <w:r>
        <w:rPr/>
        <w:t xml:space="preserve"> 地址：</w:t>
      </w:r>
      <w:r>
        <w:rPr/>
        <w:t>佛山市禅城区卫国路78号</w:t>
      </w:r>
    </w:p>
    <w:p>
      <w:pPr>
        <w:pStyle w:val="null3"/>
        <w:ind w:firstLine="480"/>
      </w:pPr>
      <w:r>
        <w:rPr/>
        <w:t xml:space="preserve"> 联系方式：</w:t>
      </w:r>
      <w:r>
        <w:rPr/>
        <w:t>0757-88032803</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采购需求中打“★”号条款为实质性条款，响应供应商如有任何一条负偏离则导致磋商无效。</w:t>
      </w:r>
    </w:p>
    <w:p>
      <w:pPr>
        <w:pStyle w:val="null3"/>
        <w:jc w:val="both"/>
      </w:pPr>
      <w:r>
        <w:rPr>
          <w:sz w:val="21"/>
        </w:rPr>
        <w:t>2.</w:t>
      </w:r>
      <w:r>
        <w:rPr>
          <w:sz w:val="21"/>
        </w:rPr>
        <w:t>采购需求中涉及的各类标准如有更新，以有关官方机构最新发布的现行标准版本为准。</w:t>
      </w:r>
    </w:p>
    <w:p>
      <w:pPr>
        <w:pStyle w:val="null3"/>
      </w:pPr>
      <w:r>
        <w:rPr/>
        <w:t>采购包1（电子签名系统）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★自合同签订之日起350个日历天内完成项目验收。</w:t>
            </w:r>
          </w:p>
        </w:tc>
      </w:tr>
      <w:tr>
        <w:tc>
          <w:tcPr>
            <w:tcW w:type="dxa" w:w="4153"/>
          </w:tcPr>
          <w:p>
            <w:pPr>
              <w:pStyle w:val="null3"/>
            </w:pPr>
            <w:r>
              <w:rPr/>
              <w:t>标的提供的地点</w:t>
            </w:r>
          </w:p>
        </w:tc>
        <w:tc>
          <w:tcPr>
            <w:tcW w:type="dxa" w:w="4153"/>
          </w:tcPr>
          <w:p>
            <w:pPr>
              <w:pStyle w:val="null3"/>
            </w:pPr>
            <w:r>
              <w:rPr/>
              <w:t>★采购人（用户）所在地，地址为：佛山市第二人民医院。</w:t>
            </w:r>
          </w:p>
        </w:tc>
      </w:tr>
      <w:tr>
        <w:tc>
          <w:tcPr>
            <w:tcW w:type="dxa" w:w="4153"/>
          </w:tcPr>
          <w:p>
            <w:pPr>
              <w:pStyle w:val="null3"/>
            </w:pPr>
            <w:r>
              <w:rPr/>
              <w:t>付款方式</w:t>
            </w:r>
          </w:p>
        </w:tc>
        <w:tc>
          <w:tcPr>
            <w:tcW w:type="dxa" w:w="4153"/>
          </w:tcPr>
          <w:p>
            <w:pPr>
              <w:pStyle w:val="null3"/>
            </w:pPr>
            <w:r>
              <w:rPr/>
              <w:t>1期：支付比例20%,★合同签订后，采购人自收到中标人有效发票之日起60个工作日内向中标人支付合同总额的20%。</w:t>
            </w:r>
          </w:p>
          <w:p>
            <w:pPr>
              <w:pStyle w:val="null3"/>
            </w:pPr>
            <w:r>
              <w:rPr/>
              <w:t>2期：支付比例20%,★系统上线并签署上线确认单后，采购人自收到中标人有效发票之日起60个工作日内向中标人支付合同总额的20%。</w:t>
            </w:r>
          </w:p>
          <w:p>
            <w:pPr>
              <w:pStyle w:val="null3"/>
            </w:pPr>
            <w:r>
              <w:rPr/>
              <w:t>3期：支付比例40%,★系统项目验收合格后，采购人自收到中标人有效发票之日起60个工作日内向中标人支付合同总额的40%。</w:t>
            </w:r>
          </w:p>
          <w:p>
            <w:pPr>
              <w:pStyle w:val="null3"/>
            </w:pPr>
            <w:r>
              <w:rPr/>
              <w:t>4期：支付比例6%,★项目验收合格满一年后，采购人自收到中标人有效发票之日起60个工作日内向中标人支付合同总额的6%。</w:t>
            </w:r>
          </w:p>
          <w:p>
            <w:pPr>
              <w:pStyle w:val="null3"/>
            </w:pPr>
            <w:r>
              <w:rPr/>
              <w:t>5期：支付比例6%,★项目验收合格满两年后，采购人自收到中标人有效发票之日起60个工作日内向中标人支付合同总额的6%。</w:t>
            </w:r>
          </w:p>
          <w:p>
            <w:pPr>
              <w:pStyle w:val="null3"/>
            </w:pPr>
            <w:r>
              <w:rPr/>
              <w:t>6期：支付比例8%,★项目验收合格满三年后，采购人自收到中标人有效发票之日起60个工作日内向中标人支付合同总额的8%。</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1期：中标人在完成本合同约定项目的开发、部署安装、调试、上线等工作后应书面通知采购人进行项目验收。 ★验收标准：（一）项目所有工作内容完成以后，由中标人提交验收申请，由采购人组织验收小组，负责对项目进行全面验收，项目验收依次序对照执行标准为： 1.符合中华人民共和国国家和履约地相关安全质量标准、行业技术规范标准。 2.符合采购文件和投标承诺中各方共同认可的各项要求。 3.双方约定的其他验收标准。 （二）项目完成后中标人向采购人提供项目期间的各种文档，项目验收需通过项目管理部门的总体验收，并由项目管理部门出具符合性验收报告，中标人须为验收提供必需的设备、工具及其他便利条件。 （三）在采购人的监督下，各项工作和文档须达到采购文件中技术要求的标准。 （四）项目验收时中标人需要提交以下项目文档： 1.系统上线确认单，所有合同范围内业务系统均全部完成上线，正常试运行至少满30天。 2.系统安装手册，包括安装部署系统（客户端、中间件、数据库等）的方法，负责培训采购人的工程师至完全掌握。 3.项目验收单，按采购人要求的标准格式验收。 4.项目实施过程的文档、讲课录视频，产品培训讲义、视频。 5.提供合同的PDF版本，合同的WORD版本。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一）报价方式为广东省佛山市禅城区目的地交付验收价，均涵盖报价要求的一切费用。报价中必须包含软件、硬件、系统开发和实施、采购人所有系统进行对接、安装调试、验收费用、保险、培训辅导、售后服务、运营管理、雇员费用、派驻人员费用、全额含税发票、合同实施过程中的应预见或不可预见费用等。（二）投标人必须自行考虑在本采购包实施期间的一切可能产生的费用，在项目的实施过程中，采购人除了支付合同规定的款项外，一切合同规定外的费用将拒绝支付。</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项目硬件维护期、软件运维期及售后服务要求</w:t>
            </w:r>
          </w:p>
        </w:tc>
        <w:tc>
          <w:tcPr>
            <w:tcW w:type="dxa" w:w="2076"/>
          </w:tcPr>
          <w:p>
            <w:pPr>
              <w:pStyle w:val="null3"/>
              <w:jc w:val="left"/>
            </w:pPr>
            <w:r>
              <w:rPr/>
              <w:t>（一）项目硬件维护期、软件运维期为自本采购包验收合格之日起3年。 （二）项目硬件维护期、软件运维期间的服务要求： 1.软件运维服务 （1）故障排除：软件运维期内中标人提供7×24小时的售后服务，包括邮件、电话、远程服务等方式，响应时间不超过2小时。若故障通过上述服务方式无法解决，应于48小时内到达现场进行维护。 （2）软件更新：中标人应承诺在项目硬件维护期、软件运维期内，如果中标人的产品技术升级，中标人应及时通知采购人，如采购人有相应要求，中标人应对采购人购买的产品进行升级服务。对程序BUG、程序错误提供定期的修复补丁包服务，定期优化软件功能和性能，在软件推出同版本的新升级程序后，对客户系统进行升级。 （3）日常维护：项目硬件维护期、软件运维期间对系统进行修正性维护、适应性维护、完善性维护、预期性维护，每次维护均建立维护记录并归档； （4）应急服务：出现紧急情况时，保证在半小时内启动应急服务，协调安排相关工作人员跟进处理相关紧急情况。中标人有完整的应急方案，并根据采购人实际情况进行修订。 （5）应用迁移：协助进行应用迁移，提供必要的技术支持与指导。 （6）咨询服务：中标人应对采购人用户在系统操作过程中的疑问提供咨询服务。 （7）维护培训：对采购人业务部门人员及主管系统人员，进行系统操作、维护培训；中标人提供系统运行情况检查方案及脚本并负责培训采购人工程师，每半年升级更新培训内容。 2.硬件运维服务 （1）提供常设7天×24小时热线服务和长期的技术支持，对采购人的售后服务通知，中标人接报后1小时内响应，2小时内到达现场，24小时内处理完毕，若主要设备的故障在24小时内仍未处理完毕，中标人必须提供相同檔次的设备予采购人临时使用或采取应急措施解决，不得影响采购人的正常工作业务。 3.网络安全服务 （1）网络安全等级保护要求：中标人提供的产品应能够符合网络信息安全等保测评要求。中标人必须根据公安机关的时间要求随时无条件对本采购包中所涉及的设备及系统进行安全漏洞检测和修复，并配合采购人完成日常等级保护检测和漏洞修复工作，以满足通过等级保护验收的要求。无条件根据采购人提供的方案进行整改。 （2）商用密码要求：按照国家相关商用密码应用和管理要求，配合相关部门的要求完成商用密码评估及整改工作。 （3）安全更新：对网络安全漏洞提供修复补丁包服务，优化网络安全性能。 4.接口运维服务 （1）接口远程处理：提供技术支持以保障系统范围现有接口的稳定运行。 （2）提供接口解决方案：对于现有接口运行不畅，提供接口解决方案，并积极配合采购人进行调整。 5.数据库运维服务 （1）数据库服务器巡检：提供定期（每季度）到采购人处与系统主管工程师进行数据库主机巡检，对现有数据库运行状态进行评估，并反馈评估报告。 （2）问题日志远程处理：对数据库中产生的问题日志，提供远程查看与指导。 （3）数据恢复：协助系统主管工程师恢复数据。 （4）数据调整：协助系统维护人员进行数据调整。 （5）数据迁移：协助进行数据库迁移，提供必要的支持和指导。 （6）应急服务：系统灾难发生时，导致系统不能正常使用超过半小时，中标人需承诺立即响应，减少数据损失，降低灾难对整个系统正常运行的影响。 （7）问题解答：解答系统及数据库疑难问题。</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中标人必须如约承担合同履行时所应该尽的一切保密义务。中标人对采购人信息、项目实施过程中的资料、数据进行保密，未经采购人书面同意不得泄露给第三方，否则，采购人保留追究中标人法律责任的权利。保密责任不因合同的中止或解除而失效。</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培训要求</w:t>
            </w:r>
          </w:p>
        </w:tc>
        <w:tc>
          <w:tcPr>
            <w:tcW w:type="dxa" w:w="2076"/>
          </w:tcPr>
          <w:p>
            <w:pPr>
              <w:pStyle w:val="null3"/>
              <w:jc w:val="left"/>
            </w:pPr>
            <w:r>
              <w:rPr/>
              <w:t>（一）中标人签订合同后须提出培训计划，计划包括但不限于培训内容、时间、地点等内容； （二）技术培训的内容必须包含软硬件的架构和系统介绍、日常操作和管理维护、以及基本的故障诊断与排错； （三）中标人应针对本采购包的特点，编制适用于本采购包的培训教材，安排有资格和能力的技术工程师来对采购人相关人员进行培训和解答问题； （四）所有的培训费用应计入投标总价（合同总额）中。</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知识产权</w:t>
            </w:r>
          </w:p>
        </w:tc>
        <w:tc>
          <w:tcPr>
            <w:tcW w:type="dxa" w:w="2076"/>
          </w:tcPr>
          <w:p>
            <w:pPr>
              <w:pStyle w:val="null3"/>
              <w:jc w:val="left"/>
            </w:pPr>
            <w:r>
              <w:rPr/>
              <w:t>中标人必须保证，采购人在中华人民共和国境内使用投标货物、资料、技术、服务或其任何一部分时，享有不受限制的无偿使用权，如有第三方向采购人提出侵犯其专利权、商标权或其它知识产权的主张，该责任应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支撑软件开发服务</w:t>
            </w:r>
          </w:p>
        </w:tc>
        <w:tc>
          <w:tcPr>
            <w:tcW w:type="dxa" w:w="933"/>
          </w:tcPr>
          <w:p>
            <w:pPr>
              <w:pStyle w:val="null3"/>
              <w:jc w:val="left"/>
            </w:pPr>
            <w:r>
              <w:rPr/>
              <w:t>电子签名系统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950,000.00</w:t>
            </w:r>
          </w:p>
        </w:tc>
        <w:tc>
          <w:tcPr>
            <w:tcW w:type="dxa" w:w="933"/>
          </w:tcPr>
          <w:p>
            <w:pPr>
              <w:pStyle w:val="null3"/>
              <w:jc w:val="right"/>
            </w:pPr>
            <w:r>
              <w:rPr/>
              <w:t>950,000.00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电子签名系统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42"/>
              <w:jc w:val="left"/>
            </w:pPr>
            <w:r>
              <w:rPr>
                <w:sz w:val="21"/>
                <w:b/>
              </w:rPr>
              <w:t>1.</w:t>
            </w:r>
            <w:r>
              <w:rPr>
                <w:sz w:val="21"/>
                <w:b/>
              </w:rPr>
              <w:t>项目背景</w:t>
            </w:r>
          </w:p>
          <w:p>
            <w:pPr>
              <w:pStyle w:val="null3"/>
              <w:ind w:firstLine="420"/>
              <w:jc w:val="both"/>
            </w:pPr>
            <w:r>
              <w:rPr>
                <w:sz w:val="21"/>
              </w:rPr>
              <w:t>近年来，在国家卫健委相关政策指导下，以电子病历为核心的医院信息化建设发展迅速，电子病历已经成为医院日常医疗服务的核心，而随着医院信息化建设的逐步推进，医院的无纸化建设也越来越受到重视。在全院推行无纸化，取消纸质病历后，能够大大减少进行手写签名的工作量，降低医护人员工作负担，同时又为医院节省了大量的纸张耗材成本。</w:t>
            </w:r>
          </w:p>
          <w:p>
            <w:pPr>
              <w:pStyle w:val="null3"/>
              <w:jc w:val="both"/>
            </w:pPr>
            <w:r>
              <w:rPr>
                <w:sz w:val="21"/>
              </w:rPr>
              <w:t>本采购包根据医院</w:t>
            </w:r>
            <w:r>
              <w:rPr>
                <w:sz w:val="21"/>
              </w:rPr>
              <w:t>HIS</w:t>
            </w:r>
            <w:r>
              <w:rPr>
                <w:sz w:val="21"/>
              </w:rPr>
              <w:t>、</w:t>
            </w:r>
            <w:r>
              <w:rPr>
                <w:sz w:val="21"/>
              </w:rPr>
              <w:t>EMR</w:t>
            </w:r>
            <w:r>
              <w:rPr>
                <w:sz w:val="21"/>
              </w:rPr>
              <w:t>、</w:t>
            </w:r>
            <w:r>
              <w:rPr>
                <w:sz w:val="21"/>
              </w:rPr>
              <w:t>LIS</w:t>
            </w:r>
            <w:r>
              <w:rPr>
                <w:sz w:val="21"/>
              </w:rPr>
              <w:t>、</w:t>
            </w:r>
            <w:r>
              <w:rPr>
                <w:sz w:val="21"/>
              </w:rPr>
              <w:t>PACS</w:t>
            </w:r>
            <w:r>
              <w:rPr>
                <w:sz w:val="21"/>
              </w:rPr>
              <w:t>、病理、手术麻醉</w:t>
            </w:r>
            <w:r>
              <w:rPr>
                <w:sz w:val="21"/>
              </w:rPr>
              <w:t>、北斗时钟管理系统</w:t>
            </w:r>
            <w:r>
              <w:rPr>
                <w:sz w:val="21"/>
              </w:rPr>
              <w:t>等医院信息系统的实际安全需求，建设医患电子签名系统，解决医院信息系统的身份认证、授权管理、责任认定等安全问题，解决电子病历的真实性、完整性、有效性等问题。基于数字证书的应用安全支撑体系，通过</w:t>
            </w:r>
            <w:r>
              <w:rPr>
                <w:sz w:val="21"/>
              </w:rPr>
              <w:t>CA</w:t>
            </w:r>
            <w:r>
              <w:rPr>
                <w:sz w:val="21"/>
              </w:rPr>
              <w:t>数字证书及证书应用相关产品和技术，实现电子认证服务与医院业务应用的有机结合，以满足</w:t>
            </w:r>
            <w:r>
              <w:rPr>
                <w:sz w:val="21"/>
              </w:rPr>
              <w:t>PC</w:t>
            </w:r>
            <w:r>
              <w:rPr>
                <w:sz w:val="21"/>
              </w:rPr>
              <w:t>端和移动端医院信息平台在身份认证、授权管理、责任认定等方面的信息安全需求，达到《电子病历系统功能应用水平分级评价方法及标准（试行）》中电子病历</w:t>
            </w:r>
            <w:r>
              <w:rPr>
                <w:sz w:val="21"/>
              </w:rPr>
              <w:t>5</w:t>
            </w:r>
            <w:r>
              <w:rPr>
                <w:sz w:val="21"/>
              </w:rPr>
              <w:t>级对电子签名的要求。</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42"/>
              <w:jc w:val="left"/>
            </w:pPr>
            <w:r>
              <w:rPr>
                <w:sz w:val="21"/>
                <w:b/>
              </w:rPr>
              <w:t>2.</w:t>
            </w:r>
            <w:r>
              <w:rPr>
                <w:sz w:val="21"/>
                <w:b/>
              </w:rPr>
              <w:t>项目的主要内容</w:t>
            </w:r>
          </w:p>
          <w:tbl>
            <w:tblPr>
              <w:tblInd w:type="dxa" w:w="120"/>
              <w:tblBorders>
                <w:top w:val="none" w:color="000000" w:sz="4"/>
                <w:left w:val="none" w:color="000000" w:sz="4"/>
                <w:bottom w:val="none" w:color="000000" w:sz="4"/>
                <w:right w:val="none" w:color="000000" w:sz="4"/>
                <w:insideH w:val="none"/>
                <w:insideV w:val="none"/>
              </w:tblBorders>
            </w:tblPr>
            <w:tblGrid>
              <w:gridCol w:w="575"/>
              <w:gridCol w:w="1740"/>
              <w:gridCol w:w="923"/>
              <w:gridCol w:w="2360"/>
            </w:tblGrid>
            <w:tr>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建设系统</w:t>
                  </w:r>
                </w:p>
              </w:tc>
              <w:tc>
                <w:tcPr>
                  <w:tcW w:type="dxa" w:w="9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2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协同签名系统</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台</w:t>
                  </w:r>
                </w:p>
              </w:tc>
              <w:tc>
                <w:tcPr>
                  <w:tcW w:type="dxa" w:w="2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移动端</w:t>
                  </w:r>
                  <w:r>
                    <w:rPr>
                      <w:sz w:val="21"/>
                    </w:rPr>
                    <w:t>APP</w:t>
                  </w:r>
                  <w:r>
                    <w:rPr>
                      <w:sz w:val="21"/>
                    </w:rPr>
                    <w:t>或</w:t>
                  </w:r>
                  <w:r>
                    <w:rPr>
                      <w:sz w:val="21"/>
                    </w:rPr>
                    <w:t>SDK</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c>
                <w:tcPr>
                  <w:tcW w:type="dxa" w:w="2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移动个人数字证书</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r>
                    <w:rPr>
                      <w:sz w:val="21"/>
                    </w:rPr>
                    <w:t>张</w:t>
                  </w:r>
                </w:p>
              </w:tc>
              <w:tc>
                <w:tcPr>
                  <w:tcW w:type="dxa" w:w="2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每张证书</w:t>
                  </w:r>
                  <w:r>
                    <w:rPr>
                      <w:sz w:val="21"/>
                    </w:rPr>
                    <w:t>3</w:t>
                  </w:r>
                  <w:r>
                    <w:rPr>
                      <w:sz w:val="21"/>
                    </w:rPr>
                    <w:t>年有效期，自启用日开始计算</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时间戳服务器</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台</w:t>
                  </w:r>
                </w:p>
              </w:tc>
              <w:tc>
                <w:tcPr>
                  <w:tcW w:type="dxa" w:w="2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手写信息数字签名系统</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台</w:t>
                  </w:r>
                </w:p>
              </w:tc>
              <w:tc>
                <w:tcPr>
                  <w:tcW w:type="dxa" w:w="2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电子病历移动签署系统</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c>
                <w:tcPr>
                  <w:tcW w:type="dxa" w:w="2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无线手写签名设备</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r>
                    <w:rPr>
                      <w:sz w:val="21"/>
                    </w:rPr>
                    <w:t>台</w:t>
                  </w:r>
                </w:p>
              </w:tc>
              <w:tc>
                <w:tcPr>
                  <w:tcW w:type="dxa" w:w="2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证书服务</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项</w:t>
                  </w:r>
                </w:p>
              </w:tc>
              <w:tc>
                <w:tcPr>
                  <w:tcW w:type="dxa" w:w="2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r>
                    <w:rPr>
                      <w:sz w:val="21"/>
                    </w:rPr>
                    <w:t>年有效使用期</w:t>
                  </w:r>
                </w:p>
              </w:tc>
            </w:tr>
          </w:tbl>
          <w:p/>
        </w:tc>
      </w:tr>
      <w:tr>
        <w:tc>
          <w:tcPr>
            <w:tcW w:type="dxa" w:w="2076"/>
          </w:tcPr>
          <w:p/>
        </w:tc>
        <w:tc>
          <w:tcPr>
            <w:tcW w:type="dxa" w:w="415"/>
          </w:tcPr>
          <w:p>
            <w:pPr>
              <w:pStyle w:val="null3"/>
            </w:pPr>
            <w:r>
              <w:rPr/>
              <w:t>3</w:t>
            </w:r>
          </w:p>
        </w:tc>
        <w:tc>
          <w:tcPr>
            <w:tcW w:type="dxa" w:w="5814"/>
          </w:tcPr>
          <w:p>
            <w:pPr>
              <w:pStyle w:val="null3"/>
              <w:ind w:firstLine="442"/>
              <w:jc w:val="left"/>
            </w:pPr>
            <w:r>
              <w:rPr>
                <w:sz w:val="21"/>
                <w:b/>
              </w:rPr>
              <w:t>3.系统的实现遵循以下原则</w:t>
            </w:r>
          </w:p>
          <w:p>
            <w:pPr>
              <w:pStyle w:val="null3"/>
              <w:ind w:firstLine="420"/>
              <w:jc w:val="left"/>
            </w:pPr>
            <w:r>
              <w:rPr>
                <w:sz w:val="21"/>
              </w:rPr>
              <w:t>统一标准原则：在系统建设过程中，</w:t>
            </w:r>
            <w:r>
              <w:rPr>
                <w:sz w:val="21"/>
              </w:rPr>
              <w:t>应</w:t>
            </w:r>
            <w:r>
              <w:rPr>
                <w:sz w:val="21"/>
              </w:rPr>
              <w:t>“统一规范、统一代码、统一接口”。加强指导、组织和协调，规范系统的基本功能、数据模型和数据编码等信息标准。</w:t>
            </w:r>
          </w:p>
          <w:p>
            <w:pPr>
              <w:pStyle w:val="null3"/>
              <w:ind w:firstLine="420"/>
              <w:jc w:val="left"/>
            </w:pPr>
            <w:r>
              <w:rPr>
                <w:sz w:val="21"/>
              </w:rPr>
              <w:t>性能稳定原则：系统应具有较强的数据处理能力，满足全院</w:t>
            </w:r>
            <w:r>
              <w:rPr>
                <w:sz w:val="21"/>
              </w:rPr>
              <w:t>7×24小时服务的要求，保证医疗数据交换和资源共享的需要。</w:t>
            </w:r>
          </w:p>
          <w:p>
            <w:pPr>
              <w:pStyle w:val="null3"/>
              <w:ind w:firstLine="420"/>
              <w:jc w:val="left"/>
            </w:pPr>
            <w:r>
              <w:rPr>
                <w:sz w:val="21"/>
              </w:rPr>
              <w:t>保证安全原则：系统运行的安全性和稳定性是业务系统正常运行的重要保障。在系统设计和建设中要符合国家有关信息安全方面的</w:t>
            </w:r>
            <w:r>
              <w:rPr>
                <w:sz w:val="21"/>
              </w:rPr>
              <w:t>法律法规</w:t>
            </w:r>
            <w:r>
              <w:rPr>
                <w:sz w:val="21"/>
              </w:rPr>
              <w:t>及技术要求，强化信息安全管理，制定和完善相关的应急处理预案，保证系统稳定运行。</w:t>
            </w:r>
          </w:p>
          <w:p>
            <w:pPr>
              <w:pStyle w:val="null3"/>
              <w:ind w:firstLine="420"/>
              <w:jc w:val="left"/>
            </w:pPr>
            <w:r>
              <w:rPr>
                <w:sz w:val="21"/>
              </w:rPr>
              <w:t>经济实效原则：项目建设</w:t>
            </w:r>
            <w:r>
              <w:rPr>
                <w:sz w:val="21"/>
              </w:rPr>
              <w:t>应</w:t>
            </w:r>
            <w:r>
              <w:rPr>
                <w:sz w:val="21"/>
              </w:rPr>
              <w:t>坚持经济实效的原则，注重投入产出效益，不盲目追赶技术超前，防止大起大落，以合理的投入，产出适宜的效果。</w:t>
            </w:r>
          </w:p>
          <w:p>
            <w:pPr>
              <w:pStyle w:val="null3"/>
              <w:ind w:firstLine="420"/>
              <w:jc w:val="left"/>
            </w:pPr>
            <w:r>
              <w:rPr>
                <w:sz w:val="21"/>
              </w:rPr>
              <w:t>扩展性、兼容性原则：项目的设计和实施应具有灵活的扩展能力，充分考虑国家相关标准和业务系统需求变化对数据格式、处理方式等带来的业务流程变动和模式调整。</w:t>
            </w:r>
          </w:p>
        </w:tc>
      </w:tr>
      <w:tr>
        <w:tc>
          <w:tcPr>
            <w:tcW w:type="dxa" w:w="2076"/>
          </w:tcPr>
          <w:p/>
        </w:tc>
        <w:tc>
          <w:tcPr>
            <w:tcW w:type="dxa" w:w="415"/>
          </w:tcPr>
          <w:p>
            <w:pPr>
              <w:pStyle w:val="null3"/>
            </w:pPr>
            <w:r>
              <w:rPr/>
              <w:t>4</w:t>
            </w:r>
          </w:p>
        </w:tc>
        <w:tc>
          <w:tcPr>
            <w:tcW w:type="dxa" w:w="5814"/>
          </w:tcPr>
          <w:p>
            <w:pPr>
              <w:pStyle w:val="null3"/>
              <w:ind w:firstLine="442"/>
              <w:jc w:val="left"/>
            </w:pPr>
            <w:r>
              <w:rPr>
                <w:sz w:val="21"/>
                <w:b/>
              </w:rPr>
              <w:t>4.系统实施的标准要求</w:t>
            </w:r>
          </w:p>
          <w:p>
            <w:pPr>
              <w:pStyle w:val="null3"/>
              <w:ind w:firstLine="420"/>
              <w:jc w:val="left"/>
            </w:pPr>
            <w:r>
              <w:rPr>
                <w:sz w:val="21"/>
              </w:rPr>
              <w:t>系统</w:t>
            </w:r>
            <w:r>
              <w:rPr>
                <w:sz w:val="21"/>
              </w:rPr>
              <w:t>应</w:t>
            </w:r>
            <w:r>
              <w:rPr>
                <w:sz w:val="21"/>
              </w:rPr>
              <w:t>遵循《国家卫生信息标准基础框架》制定的统一的技术规范和相关数据共享要求。采用多层软件体系架构，以便能随时适应未来的新的需求调整，实现各级卫生部门、各业务系统的信息服务共享及各种服务的快速整合与快速响应。</w:t>
            </w:r>
          </w:p>
          <w:p>
            <w:pPr>
              <w:pStyle w:val="null3"/>
              <w:ind w:firstLine="420"/>
              <w:jc w:val="left"/>
            </w:pPr>
            <w:r>
              <w:rPr>
                <w:sz w:val="21"/>
              </w:rPr>
              <w:t>系统设计和使用</w:t>
            </w:r>
            <w:r>
              <w:rPr>
                <w:sz w:val="21"/>
              </w:rPr>
              <w:t>应</w:t>
            </w:r>
            <w:r>
              <w:rPr>
                <w:sz w:val="21"/>
              </w:rPr>
              <w:t>确保数据的准确性、可靠性、完整性、连续性、安全性及保密性。在网络环境下，需要使用多种技术手段保护数据的安全。应符合国家及医疗卫生行业的相关信息化和数据标准或规范，如</w:t>
            </w:r>
            <w:r>
              <w:rPr>
                <w:sz w:val="21"/>
              </w:rPr>
              <w:t>HL7 CDA、DICOM、IHE XDS、XML、ICD10、电子病历国家标准、中华人民共和国计算机信息系统安全保护条例、中华人民共和国保密法、中国计算机安全法规标准等，在大量数据环境下能保证系统的运行速度；能确保数据存储及共享的标准化。</w:t>
            </w:r>
          </w:p>
          <w:p>
            <w:pPr>
              <w:pStyle w:val="null3"/>
              <w:ind w:firstLine="420"/>
              <w:jc w:val="left"/>
            </w:pPr>
            <w:r>
              <w:rPr>
                <w:sz w:val="21"/>
              </w:rPr>
              <w:t>1）优先参照国家统一标准，凡已公布国家/行业标准的遵循国家/行业标准；无国家/行业标准的参考国际标准、外国国家标准。</w:t>
            </w:r>
          </w:p>
          <w:p>
            <w:pPr>
              <w:pStyle w:val="null3"/>
              <w:ind w:firstLine="420"/>
              <w:jc w:val="left"/>
            </w:pPr>
            <w:r>
              <w:rPr>
                <w:sz w:val="21"/>
              </w:rPr>
              <w:t>2）如果国家、国际没有相应标准，参考国内省市已经形成的标准、规范。</w:t>
            </w:r>
          </w:p>
          <w:p>
            <w:pPr>
              <w:pStyle w:val="null3"/>
              <w:ind w:firstLine="420"/>
              <w:jc w:val="left"/>
            </w:pPr>
            <w:r>
              <w:rPr>
                <w:sz w:val="21"/>
              </w:rPr>
              <w:t>3）如果国家、国际、省市都没有相应标准，自建区标准。需自建信息字典的编制和维护，卫生信息标准的引用和参照。</w:t>
            </w:r>
          </w:p>
        </w:tc>
      </w:tr>
      <w:tr>
        <w:tc>
          <w:tcPr>
            <w:tcW w:type="dxa" w:w="2076"/>
          </w:tcPr>
          <w:p/>
        </w:tc>
        <w:tc>
          <w:tcPr>
            <w:tcW w:type="dxa" w:w="415"/>
          </w:tcPr>
          <w:p>
            <w:pPr>
              <w:pStyle w:val="null3"/>
            </w:pPr>
            <w:r>
              <w:rPr/>
              <w:t>5</w:t>
            </w:r>
          </w:p>
        </w:tc>
        <w:tc>
          <w:tcPr>
            <w:tcW w:type="dxa" w:w="5814"/>
          </w:tcPr>
          <w:p>
            <w:pPr>
              <w:pStyle w:val="null3"/>
              <w:ind w:firstLine="442"/>
              <w:jc w:val="left"/>
            </w:pPr>
            <w:r>
              <w:rPr>
                <w:sz w:val="21"/>
                <w:b/>
              </w:rPr>
              <w:t>5.系统评审要求</w:t>
            </w:r>
          </w:p>
          <w:p>
            <w:pPr>
              <w:pStyle w:val="null3"/>
              <w:ind w:firstLine="480"/>
              <w:jc w:val="left"/>
            </w:pPr>
            <w:r>
              <w:rPr>
                <w:sz w:val="21"/>
              </w:rPr>
              <w:t>1）</w:t>
            </w:r>
            <w:r>
              <w:rPr>
                <w:sz w:val="21"/>
              </w:rPr>
              <w:t>提供的软件版本</w:t>
            </w:r>
            <w:r>
              <w:rPr>
                <w:sz w:val="21"/>
              </w:rPr>
              <w:t>能</w:t>
            </w:r>
            <w:r>
              <w:rPr>
                <w:sz w:val="21"/>
              </w:rPr>
              <w:t>配合</w:t>
            </w:r>
            <w:r>
              <w:rPr>
                <w:sz w:val="21"/>
              </w:rPr>
              <w:t>采购人</w:t>
            </w:r>
            <w:r>
              <w:rPr>
                <w:sz w:val="21"/>
              </w:rPr>
              <w:t>通过</w:t>
            </w:r>
            <w:r>
              <w:rPr>
                <w:sz w:val="21"/>
              </w:rPr>
              <w:t>5级电子病历评审工作。</w:t>
            </w:r>
          </w:p>
          <w:p>
            <w:pPr>
              <w:pStyle w:val="null3"/>
              <w:ind w:firstLine="480"/>
              <w:jc w:val="left"/>
            </w:pPr>
            <w:r>
              <w:rPr>
                <w:sz w:val="21"/>
              </w:rPr>
              <w:t>2）</w:t>
            </w:r>
            <w:r>
              <w:rPr>
                <w:sz w:val="21"/>
              </w:rPr>
              <w:t>具备通过</w:t>
            </w:r>
            <w:r>
              <w:rPr>
                <w:sz w:val="21"/>
              </w:rPr>
              <w:t>6级电子病历要求的技术能力，并具备通过6级电子病历评审要求。</w:t>
            </w:r>
          </w:p>
        </w:tc>
      </w:tr>
      <w:tr>
        <w:tc>
          <w:tcPr>
            <w:tcW w:type="dxa" w:w="2076"/>
          </w:tcPr>
          <w:p/>
        </w:tc>
        <w:tc>
          <w:tcPr>
            <w:tcW w:type="dxa" w:w="415"/>
          </w:tcPr>
          <w:p>
            <w:pPr>
              <w:pStyle w:val="null3"/>
            </w:pPr>
            <w:r>
              <w:rPr/>
              <w:t>6</w:t>
            </w:r>
          </w:p>
        </w:tc>
        <w:tc>
          <w:tcPr>
            <w:tcW w:type="dxa" w:w="5814"/>
          </w:tcPr>
          <w:p>
            <w:pPr>
              <w:pStyle w:val="null3"/>
              <w:ind w:firstLine="422"/>
              <w:jc w:val="left"/>
            </w:pPr>
            <w:r>
              <w:rPr>
                <w:sz w:val="21"/>
                <w:b/>
              </w:rPr>
              <w:t>6.1</w:t>
            </w:r>
            <w:r>
              <w:rPr>
                <w:sz w:val="21"/>
                <w:b/>
              </w:rPr>
              <w:t>系统详细功能要求</w:t>
            </w:r>
          </w:p>
          <w:p>
            <w:pPr>
              <w:pStyle w:val="null3"/>
              <w:ind w:firstLine="422"/>
              <w:jc w:val="left"/>
            </w:pPr>
            <w:r>
              <w:rPr>
                <w:sz w:val="21"/>
                <w:b/>
              </w:rPr>
              <w:t>6.1.1</w:t>
            </w:r>
            <w:r>
              <w:rPr>
                <w:sz w:val="21"/>
                <w:b/>
              </w:rPr>
              <w:t>协同签名系统（</w:t>
            </w:r>
            <w:r>
              <w:rPr>
                <w:sz w:val="21"/>
                <w:b/>
              </w:rPr>
              <w:t>2</w:t>
            </w:r>
            <w:r>
              <w:rPr>
                <w:sz w:val="21"/>
                <w:b/>
              </w:rPr>
              <w:t>台）</w:t>
            </w:r>
          </w:p>
          <w:tbl>
            <w:tblPr>
              <w:tblInd w:type="dxa" w:w="120"/>
              <w:tblBorders>
                <w:top w:val="none" w:color="000000" w:sz="4"/>
                <w:left w:val="none" w:color="000000" w:sz="4"/>
                <w:bottom w:val="none" w:color="000000" w:sz="4"/>
                <w:right w:val="none" w:color="000000" w:sz="4"/>
                <w:insideH w:val="none"/>
                <w:insideV w:val="none"/>
              </w:tblBorders>
            </w:tblPr>
            <w:tblGrid>
              <w:gridCol w:w="1174"/>
              <w:gridCol w:w="1475"/>
              <w:gridCol w:w="2949"/>
            </w:tblGrid>
            <w:tr>
              <w:tc>
                <w:tcPr>
                  <w:tcW w:type="dxa" w:w="1174"/>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b/>
                      <w:color w:val="000000"/>
                    </w:rPr>
                    <w:t>模块</w:t>
                  </w:r>
                </w:p>
              </w:tc>
              <w:tc>
                <w:tcPr>
                  <w:tcW w:type="dxa" w:w="1475"/>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b/>
                      <w:color w:val="000000"/>
                    </w:rPr>
                    <w:t>功能</w:t>
                  </w:r>
                </w:p>
              </w:tc>
              <w:tc>
                <w:tcPr>
                  <w:tcW w:type="dxa" w:w="294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b/>
                      <w:color w:val="000000"/>
                    </w:rPr>
                    <w:t>功能描述</w:t>
                  </w:r>
                </w:p>
              </w:tc>
            </w:tr>
            <w:tr>
              <w:tc>
                <w:tcPr>
                  <w:tcW w:type="dxa" w:w="1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软件系统功能</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基本要求</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医护电子签名主要是指医护数据电文中以电子形式所含、所附用于识别签名人身份并表明签名人认可其中内容的数据。</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证书管理</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）▲证书生命周期管理，包括单个</w:t>
                  </w:r>
                  <w:r>
                    <w:rPr>
                      <w:sz w:val="21"/>
                    </w:rPr>
                    <w:t>/</w:t>
                  </w:r>
                  <w:r>
                    <w:rPr>
                      <w:sz w:val="21"/>
                    </w:rPr>
                    <w:t>批量申请证书、单个</w:t>
                  </w:r>
                  <w:r>
                    <w:rPr>
                      <w:sz w:val="21"/>
                    </w:rPr>
                    <w:t>/</w:t>
                  </w:r>
                  <w:r>
                    <w:rPr>
                      <w:sz w:val="21"/>
                    </w:rPr>
                    <w:t>批量续期证书。证书下载，通过用户名、用户标识查询证书，可下载证书；证书绑定，用户标识与证书进行绑定；密码管理，包括修改密码、密码解锁（投标时需提供加盖投标人公章对应功能的产品说明书作为证明材料）。</w:t>
                  </w:r>
                </w:p>
                <w:p>
                  <w:pPr>
                    <w:pStyle w:val="null3"/>
                    <w:jc w:val="both"/>
                  </w:pPr>
                  <w:r>
                    <w:rPr>
                      <w:sz w:val="21"/>
                    </w:rPr>
                    <w:t>2</w:t>
                  </w:r>
                  <w:r>
                    <w:rPr>
                      <w:sz w:val="21"/>
                    </w:rPr>
                    <w:t>）证书申请，支持单个申请，一键批量申请；支持应用通过接口在线申请。</w:t>
                  </w:r>
                </w:p>
                <w:p>
                  <w:pPr>
                    <w:pStyle w:val="null3"/>
                    <w:jc w:val="both"/>
                  </w:pPr>
                  <w:r>
                    <w:rPr>
                      <w:sz w:val="21"/>
                    </w:rPr>
                    <w:t>3</w:t>
                  </w:r>
                  <w:r>
                    <w:rPr>
                      <w:sz w:val="21"/>
                    </w:rPr>
                    <w:t>）支持数字证书、续期、注销、变更等全生命周期服务管理，支持一键批量操作。</w:t>
                  </w:r>
                </w:p>
                <w:p>
                  <w:pPr>
                    <w:pStyle w:val="null3"/>
                    <w:jc w:val="both"/>
                  </w:pPr>
                  <w:r>
                    <w:rPr>
                      <w:sz w:val="21"/>
                    </w:rPr>
                    <w:t>4</w:t>
                  </w:r>
                  <w:r>
                    <w:rPr>
                      <w:sz w:val="21"/>
                    </w:rPr>
                    <w:t>）支持数字证书口令在线解锁。</w:t>
                  </w:r>
                </w:p>
                <w:p>
                  <w:pPr>
                    <w:pStyle w:val="null3"/>
                    <w:jc w:val="both"/>
                  </w:pPr>
                  <w:r>
                    <w:rPr>
                      <w:sz w:val="21"/>
                    </w:rPr>
                    <w:t>5</w:t>
                  </w:r>
                  <w:r>
                    <w:rPr>
                      <w:sz w:val="21"/>
                    </w:rPr>
                    <w:t>）支持证书发放数量统计。</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身份认证管理</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）身份认证方式：通过多因子认证（口令认证、口令认证</w:t>
                  </w:r>
                  <w:r>
                    <w:rPr>
                      <w:sz w:val="21"/>
                    </w:rPr>
                    <w:t>+</w:t>
                  </w:r>
                  <w:r>
                    <w:rPr>
                      <w:sz w:val="21"/>
                    </w:rPr>
                    <w:t>刷脸认证、口令认证</w:t>
                  </w:r>
                  <w:r>
                    <w:rPr>
                      <w:sz w:val="21"/>
                    </w:rPr>
                    <w:t>+</w:t>
                  </w:r>
                  <w:r>
                    <w:rPr>
                      <w:sz w:val="21"/>
                    </w:rPr>
                    <w:t>短信认证、口令认证</w:t>
                  </w:r>
                  <w:r>
                    <w:rPr>
                      <w:sz w:val="21"/>
                    </w:rPr>
                    <w:t>+</w:t>
                  </w:r>
                  <w:r>
                    <w:rPr>
                      <w:sz w:val="21"/>
                    </w:rPr>
                    <w:t>指纹认证、口令认证</w:t>
                  </w:r>
                  <w:r>
                    <w:rPr>
                      <w:sz w:val="21"/>
                    </w:rPr>
                    <w:t>+</w:t>
                  </w:r>
                  <w:r>
                    <w:rPr>
                      <w:sz w:val="21"/>
                    </w:rPr>
                    <w:t>设备认证）、扫码认证方式进行身份认证。</w:t>
                  </w:r>
                </w:p>
                <w:p>
                  <w:pPr>
                    <w:pStyle w:val="null3"/>
                    <w:jc w:val="both"/>
                  </w:pPr>
                  <w:r>
                    <w:rPr>
                      <w:sz w:val="21"/>
                    </w:rPr>
                    <w:t>2</w:t>
                  </w:r>
                  <w:r>
                    <w:rPr>
                      <w:sz w:val="21"/>
                    </w:rPr>
                    <w:t>）身份认证方式管理：对认证方式进行查询、修改、添加操作。用户完成登录认证后，在一定时间内免扫码认证或免密签名，可设置免密时间长短。</w:t>
                  </w:r>
                </w:p>
                <w:p>
                  <w:pPr>
                    <w:pStyle w:val="null3"/>
                    <w:jc w:val="both"/>
                  </w:pPr>
                  <w:r>
                    <w:rPr>
                      <w:sz w:val="21"/>
                    </w:rPr>
                    <w:t>3</w:t>
                  </w:r>
                  <w:r>
                    <w:rPr>
                      <w:sz w:val="21"/>
                    </w:rPr>
                    <w:t>）认证提醒：第三方应用发起认证时，提醒用户进行认证确认。</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授权管理</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）通过授权管理实现用户之间进行互相授权的操作。</w:t>
                  </w:r>
                </w:p>
                <w:p>
                  <w:pPr>
                    <w:pStyle w:val="null3"/>
                    <w:jc w:val="both"/>
                  </w:pPr>
                  <w:r>
                    <w:rPr>
                      <w:sz w:val="21"/>
                    </w:rPr>
                    <w:t>2</w:t>
                  </w:r>
                  <w:r>
                    <w:rPr>
                      <w:sz w:val="21"/>
                    </w:rPr>
                    <w:t>）授权用户管理：对授权用户进行查询、修改、添加授权操作。</w:t>
                  </w:r>
                </w:p>
                <w:p>
                  <w:pPr>
                    <w:pStyle w:val="null3"/>
                    <w:jc w:val="both"/>
                  </w:pPr>
                  <w:r>
                    <w:rPr>
                      <w:sz w:val="21"/>
                    </w:rPr>
                    <w:t>3</w:t>
                  </w:r>
                  <w:r>
                    <w:rPr>
                      <w:sz w:val="21"/>
                    </w:rPr>
                    <w:t>）申请授权：授权用户申请授权；删除授权：删除已经授权的信息；确认授权：授权人确认授权行为。</w:t>
                  </w:r>
                </w:p>
                <w:p>
                  <w:pPr>
                    <w:pStyle w:val="null3"/>
                    <w:jc w:val="both"/>
                  </w:pPr>
                  <w:r>
                    <w:rPr>
                      <w:sz w:val="21"/>
                    </w:rPr>
                    <w:t>4</w:t>
                  </w:r>
                  <w:r>
                    <w:rPr>
                      <w:sz w:val="21"/>
                    </w:rPr>
                    <w:t>）冻结</w:t>
                  </w:r>
                  <w:r>
                    <w:rPr>
                      <w:sz w:val="21"/>
                    </w:rPr>
                    <w:t>/</w:t>
                  </w:r>
                  <w:r>
                    <w:rPr>
                      <w:sz w:val="21"/>
                    </w:rPr>
                    <w:t>解冻授权：授权人可冻结授权</w:t>
                  </w:r>
                  <w:r>
                    <w:rPr>
                      <w:sz w:val="21"/>
                    </w:rPr>
                    <w:t>/</w:t>
                  </w:r>
                  <w:r>
                    <w:rPr>
                      <w:sz w:val="21"/>
                    </w:rPr>
                    <w:t>解冻授权。</w:t>
                  </w:r>
                </w:p>
                <w:p>
                  <w:pPr>
                    <w:pStyle w:val="null3"/>
                    <w:jc w:val="both"/>
                  </w:pPr>
                  <w:r>
                    <w:rPr>
                      <w:sz w:val="21"/>
                    </w:rPr>
                    <w:t>5</w:t>
                  </w:r>
                  <w:r>
                    <w:rPr>
                      <w:sz w:val="21"/>
                    </w:rPr>
                    <w:t>）授权续期：授权人可对授权用户的授权时间、授权使用次数进行续期。</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电子签名管理服务</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通过电子签名管理服务实现各场景签名应用。</w:t>
                  </w:r>
                </w:p>
                <w:p>
                  <w:pPr>
                    <w:pStyle w:val="null3"/>
                    <w:jc w:val="both"/>
                  </w:pPr>
                  <w:r>
                    <w:rPr>
                      <w:sz w:val="21"/>
                    </w:rPr>
                    <w:t>1</w:t>
                  </w:r>
                  <w:r>
                    <w:rPr>
                      <w:sz w:val="21"/>
                    </w:rPr>
                    <w:t>）授权签名：授权人可指定授权用户代授权人进行签名。</w:t>
                  </w:r>
                </w:p>
                <w:p>
                  <w:pPr>
                    <w:pStyle w:val="null3"/>
                    <w:jc w:val="both"/>
                  </w:pPr>
                  <w:r>
                    <w:rPr>
                      <w:sz w:val="21"/>
                    </w:rPr>
                    <w:t>2</w:t>
                  </w:r>
                  <w:r>
                    <w:rPr>
                      <w:sz w:val="21"/>
                    </w:rPr>
                    <w:t>）非实时签名：支持提交签名文件后，在</w:t>
                  </w:r>
                  <w:r>
                    <w:rPr>
                      <w:sz w:val="21"/>
                    </w:rPr>
                    <w:t>APP</w:t>
                  </w:r>
                  <w:r>
                    <w:rPr>
                      <w:sz w:val="21"/>
                    </w:rPr>
                    <w:t>上确认后才对文件进行签名。</w:t>
                  </w:r>
                </w:p>
                <w:p>
                  <w:pPr>
                    <w:pStyle w:val="null3"/>
                    <w:jc w:val="both"/>
                  </w:pPr>
                  <w:r>
                    <w:rPr>
                      <w:sz w:val="21"/>
                    </w:rPr>
                    <w:t>3</w:t>
                  </w:r>
                  <w:r>
                    <w:rPr>
                      <w:sz w:val="21"/>
                    </w:rPr>
                    <w:t>）协同签名：提交协同签名文件，可设置并行多人签名、多级串行签名。</w:t>
                  </w:r>
                </w:p>
                <w:p>
                  <w:pPr>
                    <w:pStyle w:val="null3"/>
                    <w:jc w:val="both"/>
                  </w:pPr>
                  <w:r>
                    <w:rPr>
                      <w:sz w:val="21"/>
                    </w:rPr>
                    <w:t>4</w:t>
                  </w:r>
                  <w:r>
                    <w:rPr>
                      <w:sz w:val="21"/>
                    </w:rPr>
                    <w:t>）属性选项：提交签名文件时可配置是否添加签名时间戳、内容时间戳、吊销信息（</w:t>
                  </w:r>
                  <w:r>
                    <w:rPr>
                      <w:sz w:val="21"/>
                    </w:rPr>
                    <w:t>CRL</w:t>
                  </w:r>
                  <w:r>
                    <w:rPr>
                      <w:sz w:val="21"/>
                    </w:rPr>
                    <w:t>信息、</w:t>
                  </w:r>
                  <w:r>
                    <w:rPr>
                      <w:sz w:val="21"/>
                    </w:rPr>
                    <w:t>OCSP</w:t>
                  </w:r>
                  <w:r>
                    <w:rPr>
                      <w:sz w:val="21"/>
                    </w:rPr>
                    <w:t>信息）、证书链。</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电子印章</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）支持</w:t>
                  </w:r>
                  <w:r>
                    <w:rPr>
                      <w:sz w:val="21"/>
                    </w:rPr>
                    <w:t>PDF</w:t>
                  </w:r>
                  <w:r>
                    <w:rPr>
                      <w:sz w:val="21"/>
                    </w:rPr>
                    <w:t>文件电子印章功能。</w:t>
                  </w:r>
                </w:p>
                <w:p>
                  <w:pPr>
                    <w:pStyle w:val="null3"/>
                    <w:jc w:val="both"/>
                  </w:pPr>
                  <w:r>
                    <w:rPr>
                      <w:sz w:val="21"/>
                    </w:rPr>
                    <w:t>2</w:t>
                  </w:r>
                  <w:r>
                    <w:rPr>
                      <w:sz w:val="21"/>
                    </w:rPr>
                    <w:t>）印章管理，包括印章</w:t>
                  </w:r>
                  <w:r>
                    <w:rPr>
                      <w:sz w:val="21"/>
                    </w:rPr>
                    <w:t>/</w:t>
                  </w:r>
                  <w:r>
                    <w:rPr>
                      <w:sz w:val="21"/>
                    </w:rPr>
                    <w:t>个人手写签名图样采集、印章上传、印章下载。</w:t>
                  </w:r>
                </w:p>
                <w:p>
                  <w:pPr>
                    <w:pStyle w:val="null3"/>
                    <w:jc w:val="both"/>
                  </w:pPr>
                  <w:r>
                    <w:rPr>
                      <w:sz w:val="21"/>
                    </w:rPr>
                    <w:t>3</w:t>
                  </w:r>
                  <w:r>
                    <w:rPr>
                      <w:sz w:val="21"/>
                    </w:rPr>
                    <w:t>）▲电子签章，包括不带时间戳的签章、带时间戳的签章、指定位置签章、指定区域签章（投标时需提供加盖投标人公章对应功能的产品说明书作为证明材料）。</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用户管理</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）对证书用户和系统管理员信息进行管理。</w:t>
                  </w:r>
                </w:p>
                <w:p>
                  <w:pPr>
                    <w:pStyle w:val="null3"/>
                    <w:jc w:val="both"/>
                  </w:pPr>
                  <w:r>
                    <w:rPr>
                      <w:sz w:val="21"/>
                    </w:rPr>
                    <w:t>2</w:t>
                  </w:r>
                  <w:r>
                    <w:rPr>
                      <w:sz w:val="21"/>
                    </w:rPr>
                    <w:t>）批量导入用户信息。</w:t>
                  </w:r>
                </w:p>
                <w:p>
                  <w:pPr>
                    <w:pStyle w:val="null3"/>
                    <w:jc w:val="both"/>
                  </w:pPr>
                  <w:r>
                    <w:rPr>
                      <w:sz w:val="21"/>
                    </w:rPr>
                    <w:t>3</w:t>
                  </w:r>
                  <w:r>
                    <w:rPr>
                      <w:sz w:val="21"/>
                    </w:rPr>
                    <w:t>）支持删除、冻结用户。</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日志管理</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）支持管理员操作日志、接口调用日志，便于操作行为溯源。</w:t>
                  </w:r>
                </w:p>
                <w:p>
                  <w:pPr>
                    <w:pStyle w:val="null3"/>
                    <w:jc w:val="both"/>
                  </w:pPr>
                  <w:r>
                    <w:rPr>
                      <w:sz w:val="21"/>
                    </w:rPr>
                    <w:t>2</w:t>
                  </w:r>
                  <w:r>
                    <w:rPr>
                      <w:sz w:val="21"/>
                    </w:rPr>
                    <w:t>）支持关键操作查询和统计。</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安全通信</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移动端与服务端之间的通信全部建立在安全加密信道的基础上，确保信息传输安全。</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跨平台支持</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Windows</w:t>
                  </w:r>
                  <w:r>
                    <w:rPr>
                      <w:sz w:val="21"/>
                    </w:rPr>
                    <w:t>、</w:t>
                  </w:r>
                  <w:r>
                    <w:rPr>
                      <w:sz w:val="21"/>
                    </w:rPr>
                    <w:t>Linux</w:t>
                  </w:r>
                  <w:r>
                    <w:rPr>
                      <w:sz w:val="21"/>
                    </w:rPr>
                    <w:t xml:space="preserve">、 </w:t>
                  </w:r>
                  <w:r>
                    <w:rPr>
                      <w:sz w:val="21"/>
                    </w:rPr>
                    <w:t>Android/IOS</w:t>
                  </w:r>
                  <w:r>
                    <w:rPr>
                      <w:sz w:val="21"/>
                    </w:rPr>
                    <w:t>移动端，微信小程序等平台。</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安全性</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）用户密钥双重加密存储：</w:t>
                  </w:r>
                </w:p>
                <w:p>
                  <w:pPr>
                    <w:pStyle w:val="null3"/>
                    <w:jc w:val="both"/>
                  </w:pPr>
                  <w:r>
                    <w:rPr>
                      <w:sz w:val="21"/>
                    </w:rPr>
                    <w:t>采用密码设备叠加用户设置的口令对用户的密钥进行加密存储，实现更安全的双重加密。</w:t>
                  </w:r>
                </w:p>
                <w:p>
                  <w:pPr>
                    <w:pStyle w:val="null3"/>
                    <w:jc w:val="both"/>
                  </w:pPr>
                  <w:r>
                    <w:rPr>
                      <w:sz w:val="21"/>
                    </w:rPr>
                    <w:t>2</w:t>
                  </w:r>
                  <w:r>
                    <w:rPr>
                      <w:sz w:val="21"/>
                    </w:rPr>
                    <w:t>）多因子认证：</w:t>
                  </w:r>
                </w:p>
                <w:p>
                  <w:pPr>
                    <w:pStyle w:val="null3"/>
                    <w:jc w:val="both"/>
                  </w:pPr>
                  <w:r>
                    <w:rPr>
                      <w:sz w:val="21"/>
                    </w:rPr>
                    <w:t>结合用户指纹验证、用户口令进行多因子认证。</w:t>
                  </w:r>
                </w:p>
                <w:p>
                  <w:pPr>
                    <w:pStyle w:val="null3"/>
                    <w:jc w:val="both"/>
                  </w:pPr>
                  <w:r>
                    <w:rPr>
                      <w:sz w:val="21"/>
                    </w:rPr>
                    <w:t>3</w:t>
                  </w:r>
                  <w:r>
                    <w:rPr>
                      <w:sz w:val="21"/>
                    </w:rPr>
                    <w:t>）全面支持国产</w:t>
                  </w:r>
                  <w:r>
                    <w:rPr>
                      <w:sz w:val="21"/>
                    </w:rPr>
                    <w:t>SM</w:t>
                  </w:r>
                  <w:r>
                    <w:rPr>
                      <w:sz w:val="21"/>
                    </w:rPr>
                    <w:t>系列密码算法：</w:t>
                  </w:r>
                </w:p>
                <w:p>
                  <w:pPr>
                    <w:pStyle w:val="null3"/>
                    <w:jc w:val="both"/>
                  </w:pPr>
                  <w:r>
                    <w:rPr>
                      <w:sz w:val="21"/>
                    </w:rPr>
                    <w:t>遵从国家密码局对签名算法的相关要求，全面支持</w:t>
                  </w:r>
                  <w:r>
                    <w:rPr>
                      <w:sz w:val="21"/>
                    </w:rPr>
                    <w:t>SM2</w:t>
                  </w:r>
                  <w:r>
                    <w:rPr>
                      <w:sz w:val="21"/>
                    </w:rPr>
                    <w:t>国密签名算法，同时兼容</w:t>
                  </w:r>
                  <w:r>
                    <w:rPr>
                      <w:sz w:val="21"/>
                    </w:rPr>
                    <w:t>RSA</w:t>
                  </w:r>
                  <w:r>
                    <w:rPr>
                      <w:sz w:val="21"/>
                    </w:rPr>
                    <w:t>等国际通用算法。</w:t>
                  </w:r>
                </w:p>
                <w:p>
                  <w:pPr>
                    <w:pStyle w:val="null3"/>
                    <w:jc w:val="both"/>
                  </w:pPr>
                  <w:r>
                    <w:rPr>
                      <w:sz w:val="21"/>
                    </w:rPr>
                    <w:t>4</w:t>
                  </w:r>
                  <w:r>
                    <w:rPr>
                      <w:sz w:val="21"/>
                    </w:rPr>
                    <w:t>）分组加密技术</w:t>
                  </w:r>
                </w:p>
                <w:p>
                  <w:pPr>
                    <w:pStyle w:val="null3"/>
                    <w:jc w:val="both"/>
                  </w:pPr>
                  <w:r>
                    <w:rPr>
                      <w:sz w:val="21"/>
                    </w:rPr>
                    <w:t>对用户的私钥资源池进行分组，采用不同的加密密钥进行分组加密，增加密钥加密存储安全性，提高加解密效率。</w:t>
                  </w:r>
                </w:p>
                <w:p>
                  <w:pPr>
                    <w:pStyle w:val="null3"/>
                    <w:jc w:val="both"/>
                  </w:pPr>
                  <w:r>
                    <w:rPr>
                      <w:sz w:val="21"/>
                    </w:rPr>
                    <w:t>5</w:t>
                  </w:r>
                  <w:r>
                    <w:rPr>
                      <w:sz w:val="21"/>
                    </w:rPr>
                    <w:t>）签名私钥不出密码设备</w:t>
                  </w:r>
                </w:p>
                <w:p>
                  <w:pPr>
                    <w:pStyle w:val="null3"/>
                    <w:jc w:val="both"/>
                  </w:pPr>
                  <w:r>
                    <w:rPr>
                      <w:sz w:val="21"/>
                    </w:rPr>
                    <w:t>用户在整个电子签名过程中，所有签名运算均在专用密码设备中进行，签名私钥不出密码设备，确保用户签名私钥的安全性。</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签名验签服务</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）生成密钥：可以生成多对对称密钥（通信密钥）。由物理噪声源作为随机数，生成密钥速度快；</w:t>
                  </w:r>
                </w:p>
                <w:p>
                  <w:pPr>
                    <w:pStyle w:val="null3"/>
                    <w:jc w:val="both"/>
                  </w:pPr>
                  <w:r>
                    <w:rPr>
                      <w:sz w:val="21"/>
                    </w:rPr>
                    <w:t>2</w:t>
                  </w:r>
                  <w:r>
                    <w:rPr>
                      <w:sz w:val="21"/>
                    </w:rPr>
                    <w:t>）密钥存储：可以存储生成的密钥和通信密钥。密钥存储安全，非法者不能获得密钥；</w:t>
                  </w:r>
                </w:p>
                <w:p>
                  <w:pPr>
                    <w:pStyle w:val="null3"/>
                    <w:jc w:val="both"/>
                  </w:pPr>
                  <w:r>
                    <w:rPr>
                      <w:sz w:val="21"/>
                    </w:rPr>
                    <w:t>3</w:t>
                  </w:r>
                  <w:r>
                    <w:rPr>
                      <w:sz w:val="21"/>
                    </w:rPr>
                    <w:t>）数字签名：可以根据需要利用密钥对的私钥部分对信息进行数字签名。提供普通格式、</w:t>
                  </w:r>
                  <w:r>
                    <w:rPr>
                      <w:sz w:val="21"/>
                    </w:rPr>
                    <w:t>PKCS#7</w:t>
                  </w:r>
                  <w:r>
                    <w:rPr>
                      <w:sz w:val="21"/>
                    </w:rPr>
                    <w:t>标准的数字签名功能；</w:t>
                  </w:r>
                </w:p>
                <w:p>
                  <w:pPr>
                    <w:pStyle w:val="null3"/>
                    <w:jc w:val="both"/>
                  </w:pPr>
                  <w:r>
                    <w:rPr>
                      <w:sz w:val="21"/>
                    </w:rPr>
                    <w:t>4</w:t>
                  </w:r>
                  <w:r>
                    <w:rPr>
                      <w:sz w:val="21"/>
                    </w:rPr>
                    <w:t>）签名验证：提供数字签名</w:t>
                  </w:r>
                  <w:r>
                    <w:rPr>
                      <w:sz w:val="21"/>
                    </w:rPr>
                    <w:t>/</w:t>
                  </w:r>
                  <w:r>
                    <w:rPr>
                      <w:sz w:val="21"/>
                    </w:rPr>
                    <w:t>验证、消息签名</w:t>
                  </w:r>
                  <w:r>
                    <w:rPr>
                      <w:sz w:val="21"/>
                    </w:rPr>
                    <w:t>/</w:t>
                  </w:r>
                  <w:r>
                    <w:rPr>
                      <w:sz w:val="21"/>
                    </w:rPr>
                    <w:t>验证、数字信封等签名</w:t>
                  </w:r>
                  <w:r>
                    <w:rPr>
                      <w:sz w:val="21"/>
                    </w:rPr>
                    <w:t>/</w:t>
                  </w:r>
                  <w:r>
                    <w:rPr>
                      <w:sz w:val="21"/>
                    </w:rPr>
                    <w:t>验证功能。提供普通格式、</w:t>
                  </w:r>
                  <w:r>
                    <w:rPr>
                      <w:sz w:val="21"/>
                    </w:rPr>
                    <w:t>PKCS#7</w:t>
                  </w:r>
                  <w:r>
                    <w:rPr>
                      <w:sz w:val="21"/>
                    </w:rPr>
                    <w:t>标准的数字签名验证功能；</w:t>
                  </w:r>
                </w:p>
                <w:p>
                  <w:pPr>
                    <w:pStyle w:val="null3"/>
                    <w:jc w:val="both"/>
                  </w:pPr>
                  <w:r>
                    <w:rPr>
                      <w:sz w:val="21"/>
                    </w:rPr>
                    <w:t>5</w:t>
                  </w:r>
                  <w:r>
                    <w:rPr>
                      <w:sz w:val="21"/>
                    </w:rPr>
                    <w:t>）数字信封功能：支持封装</w:t>
                  </w:r>
                  <w:r>
                    <w:rPr>
                      <w:sz w:val="21"/>
                    </w:rPr>
                    <w:t>/</w:t>
                  </w:r>
                  <w:r>
                    <w:rPr>
                      <w:sz w:val="21"/>
                    </w:rPr>
                    <w:t>解封符合</w:t>
                  </w:r>
                  <w:r>
                    <w:rPr>
                      <w:sz w:val="21"/>
                    </w:rPr>
                    <w:t>PKCS#7</w:t>
                  </w:r>
                  <w:r>
                    <w:rPr>
                      <w:sz w:val="21"/>
                    </w:rPr>
                    <w:t>标准的数字信封；</w:t>
                  </w:r>
                </w:p>
                <w:p>
                  <w:pPr>
                    <w:pStyle w:val="null3"/>
                    <w:jc w:val="both"/>
                  </w:pPr>
                  <w:r>
                    <w:rPr>
                      <w:sz w:val="21"/>
                    </w:rPr>
                    <w:t>6</w:t>
                  </w:r>
                  <w:r>
                    <w:rPr>
                      <w:sz w:val="21"/>
                    </w:rPr>
                    <w:t>）证书有效性验证：提供证书有效期验证、</w:t>
                  </w:r>
                  <w:r>
                    <w:rPr>
                      <w:sz w:val="21"/>
                    </w:rPr>
                    <w:t>CA</w:t>
                  </w:r>
                  <w:r>
                    <w:rPr>
                      <w:sz w:val="21"/>
                    </w:rPr>
                    <w:t>根验证和</w:t>
                  </w:r>
                  <w:r>
                    <w:rPr>
                      <w:sz w:val="21"/>
                    </w:rPr>
                    <w:t>CRL</w:t>
                  </w:r>
                  <w:r>
                    <w:rPr>
                      <w:sz w:val="21"/>
                    </w:rPr>
                    <w:t>验证等多种验证方式和验证级别。</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协同签名功能</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▲系统基于</w:t>
                  </w:r>
                  <w:r>
                    <w:rPr>
                      <w:sz w:val="21"/>
                    </w:rPr>
                    <w:t>SM2</w:t>
                  </w:r>
                  <w:r>
                    <w:rPr>
                      <w:sz w:val="21"/>
                    </w:rPr>
                    <w:t>密钥分割技术和协同签名技术实现的签名，具有私钥生成、存储、使用、更新、销毁管理功能。</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应用接入及授权</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支持对接入应用的授权管理，提供</w:t>
                  </w:r>
                  <w:r>
                    <w:rPr>
                      <w:sz w:val="21"/>
                      <w:color w:val="000000"/>
                    </w:rPr>
                    <w:t>restful API</w:t>
                  </w:r>
                  <w:r>
                    <w:rPr>
                      <w:sz w:val="21"/>
                      <w:color w:val="000000"/>
                    </w:rPr>
                    <w:t>的形式接口与业务系统对接，产品提供对业务系统请求报文的真实性完整性校验。</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签名应用</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支持基于服务端的签名任务发起和签名结果获取；基于协同密钥技术来实现移动端用户私钥的生成和使用。</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系统管理</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支持在线、离线证书签发模式、日志及审计功能。</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应用场景</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支持一人多设备、一设备多人的应用场景；支持授权签名：用户只需要使用手机在</w:t>
                  </w:r>
                  <w:r>
                    <w:rPr>
                      <w:sz w:val="21"/>
                      <w:color w:val="000000"/>
                    </w:rPr>
                    <w:t>PC</w:t>
                  </w:r>
                  <w:r>
                    <w:rPr>
                      <w:sz w:val="21"/>
                      <w:color w:val="000000"/>
                    </w:rPr>
                    <w:t>端完成一次授权即可多次签名，并可以关闭授权；支持推送签名：用户以推送的方式发起签名，签名者在手机端收到推送后直接完成签名；支持在签名任务中添加签名描述信息。</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支持算法</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w:t>
                  </w:r>
                  <w:r>
                    <w:rPr>
                      <w:sz w:val="21"/>
                      <w:color w:val="000000"/>
                    </w:rPr>
                    <w:t>SM1</w:t>
                  </w:r>
                  <w:r>
                    <w:rPr>
                      <w:sz w:val="21"/>
                      <w:color w:val="000000"/>
                    </w:rPr>
                    <w:t>、</w:t>
                  </w:r>
                  <w:r>
                    <w:rPr>
                      <w:sz w:val="21"/>
                      <w:color w:val="000000"/>
                    </w:rPr>
                    <w:t>SM2</w:t>
                  </w:r>
                  <w:r>
                    <w:rPr>
                      <w:sz w:val="21"/>
                      <w:color w:val="000000"/>
                    </w:rPr>
                    <w:t>、</w:t>
                  </w:r>
                  <w:r>
                    <w:rPr>
                      <w:sz w:val="21"/>
                      <w:color w:val="000000"/>
                    </w:rPr>
                    <w:t>SM3</w:t>
                  </w:r>
                  <w:r>
                    <w:rPr>
                      <w:sz w:val="21"/>
                      <w:color w:val="000000"/>
                    </w:rPr>
                    <w:t>、</w:t>
                  </w:r>
                  <w:r>
                    <w:rPr>
                      <w:sz w:val="21"/>
                      <w:color w:val="000000"/>
                    </w:rPr>
                    <w:t>SM4</w:t>
                  </w:r>
                  <w:r>
                    <w:rPr>
                      <w:sz w:val="21"/>
                      <w:color w:val="000000"/>
                    </w:rPr>
                    <w:t>等密码算法标准。</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身份核验</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▲登录时支持生物识别和手机号身份核验，验证激活码支持短信发送，短信网关可配置自建云服务短信网关和第三方短信网关。</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运行状态监测</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支持可视化管理，使用</w:t>
                  </w:r>
                  <w:r>
                    <w:rPr>
                      <w:sz w:val="21"/>
                      <w:color w:val="000000"/>
                    </w:rPr>
                    <w:t>SNMP</w:t>
                  </w:r>
                  <w:r>
                    <w:rPr>
                      <w:sz w:val="21"/>
                      <w:color w:val="000000"/>
                    </w:rPr>
                    <w:t>协议，系统监控、设备硬件及软件的运行状态监测功能监测数据。</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统计分析</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▲支持证书签发、签名统计、统计报表功能，按时间</w:t>
                  </w:r>
                  <w:r>
                    <w:rPr>
                      <w:sz w:val="21"/>
                    </w:rPr>
                    <w:t>/</w:t>
                  </w:r>
                  <w:r>
                    <w:rPr>
                      <w:sz w:val="21"/>
                    </w:rPr>
                    <w:t>证书类型</w:t>
                  </w:r>
                  <w:r>
                    <w:rPr>
                      <w:sz w:val="21"/>
                    </w:rPr>
                    <w:t>/</w:t>
                  </w:r>
                  <w:r>
                    <w:rPr>
                      <w:sz w:val="21"/>
                    </w:rPr>
                    <w:t>科室</w:t>
                  </w:r>
                  <w:r>
                    <w:rPr>
                      <w:sz w:val="21"/>
                    </w:rPr>
                    <w:t>/</w:t>
                  </w:r>
                  <w:r>
                    <w:rPr>
                      <w:sz w:val="21"/>
                    </w:rPr>
                    <w:t>姓名的查看、检索、导出功能。</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IPv6</w:t>
                  </w:r>
                  <w:r>
                    <w:rPr>
                      <w:sz w:val="21"/>
                      <w:color w:val="000000"/>
                    </w:rPr>
                    <w:t>协议支持</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▲产品支持</w:t>
                  </w:r>
                  <w:r>
                    <w:rPr>
                      <w:sz w:val="21"/>
                      <w:color w:val="000000"/>
                    </w:rPr>
                    <w:t>IPv6</w:t>
                  </w:r>
                  <w:r>
                    <w:rPr>
                      <w:sz w:val="21"/>
                      <w:color w:val="000000"/>
                    </w:rPr>
                    <w:t>协议。</w:t>
                  </w:r>
                </w:p>
              </w:tc>
            </w:tr>
            <w:tr>
              <w:tc>
                <w:tcPr>
                  <w:tcW w:type="dxa" w:w="1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硬件平台配置</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设备高度</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2U</w:t>
                  </w:r>
                  <w:r>
                    <w:rPr>
                      <w:sz w:val="21"/>
                      <w:color w:val="000000"/>
                    </w:rPr>
                    <w:t>。</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CPU</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w:t>
                  </w:r>
                  <w:r>
                    <w:rPr>
                      <w:sz w:val="21"/>
                    </w:rPr>
                    <w:t>核</w:t>
                  </w:r>
                  <w:r>
                    <w:rPr>
                      <w:sz w:val="21"/>
                      <w:color w:val="000000"/>
                    </w:rPr>
                    <w:t>，</w:t>
                  </w:r>
                  <w:r>
                    <w:rPr>
                      <w:sz w:val="21"/>
                      <w:color w:val="000000"/>
                    </w:rPr>
                    <w:t>3.5GHz</w:t>
                  </w:r>
                  <w:r>
                    <w:rPr>
                      <w:sz w:val="21"/>
                    </w:rPr>
                    <w:t>。</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内存</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w:t>
                  </w:r>
                  <w:r>
                    <w:rPr>
                      <w:sz w:val="21"/>
                    </w:rPr>
                    <w:t>×</w:t>
                  </w:r>
                  <w:r>
                    <w:rPr>
                      <w:sz w:val="21"/>
                    </w:rPr>
                    <w:t>8G</w:t>
                  </w:r>
                  <w:r>
                    <w:rPr>
                      <w:sz w:val="21"/>
                    </w:rPr>
                    <w:t>。</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2</w:t>
                  </w:r>
                  <w:r>
                    <w:rPr>
                      <w:sz w:val="21"/>
                      <w:color w:val="000000"/>
                    </w:rPr>
                    <w:t>×</w:t>
                  </w:r>
                  <w:r>
                    <w:rPr>
                      <w:sz w:val="21"/>
                      <w:color w:val="000000"/>
                    </w:rPr>
                    <w:t>4T</w:t>
                  </w:r>
                  <w:r>
                    <w:rPr>
                      <w:sz w:val="21"/>
                      <w:color w:val="000000"/>
                    </w:rPr>
                    <w:t>。</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密码卡</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内置满足密码模块安全等级第二级相关要求的密码卡。</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550W 1+1</w:t>
                  </w:r>
                  <w:r>
                    <w:rPr>
                      <w:sz w:val="21"/>
                      <w:color w:val="000000"/>
                    </w:rPr>
                    <w:t>标准服务器冗余电源。</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网口</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不低于</w:t>
                  </w:r>
                  <w:r>
                    <w:rPr>
                      <w:sz w:val="21"/>
                      <w:color w:val="000000"/>
                    </w:rPr>
                    <w:t>2</w:t>
                  </w:r>
                  <w:r>
                    <w:rPr>
                      <w:sz w:val="21"/>
                      <w:color w:val="000000"/>
                    </w:rPr>
                    <w:t>×</w:t>
                  </w:r>
                  <w:r>
                    <w:rPr>
                      <w:sz w:val="21"/>
                      <w:color w:val="000000"/>
                    </w:rPr>
                    <w:t>100/1000M</w:t>
                  </w:r>
                  <w:r>
                    <w:rPr>
                      <w:sz w:val="21"/>
                      <w:color w:val="000000"/>
                    </w:rPr>
                    <w:t>自适应网口。</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性能</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SM2</w:t>
                  </w:r>
                  <w:r>
                    <w:rPr>
                      <w:sz w:val="21"/>
                    </w:rPr>
                    <w:t>协同签名效率≥</w:t>
                  </w:r>
                  <w:r>
                    <w:rPr>
                      <w:sz w:val="21"/>
                    </w:rPr>
                    <w:t>300TPS</w:t>
                  </w:r>
                  <w:r>
                    <w:rPr>
                      <w:sz w:val="21"/>
                    </w:rPr>
                    <w:t>。</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系统负载</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支持双机和集群部署。</w:t>
                  </w:r>
                </w:p>
              </w:tc>
            </w:tr>
          </w:tbl>
          <w:p>
            <w:pPr>
              <w:pStyle w:val="null3"/>
              <w:ind w:firstLine="422"/>
              <w:jc w:val="left"/>
            </w:pPr>
            <w:r>
              <w:rPr>
                <w:sz w:val="21"/>
                <w:b/>
              </w:rPr>
              <w:t>6.1.2</w:t>
            </w:r>
            <w:r>
              <w:rPr>
                <w:sz w:val="21"/>
                <w:b/>
              </w:rPr>
              <w:t>移动端</w:t>
            </w:r>
            <w:r>
              <w:rPr>
                <w:sz w:val="21"/>
                <w:b/>
              </w:rPr>
              <w:t>APP</w:t>
            </w:r>
            <w:r>
              <w:rPr>
                <w:sz w:val="21"/>
                <w:b/>
              </w:rPr>
              <w:t>或</w:t>
            </w:r>
            <w:r>
              <w:rPr>
                <w:sz w:val="21"/>
                <w:b/>
              </w:rPr>
              <w:t>SDK</w:t>
            </w:r>
            <w:r>
              <w:rPr>
                <w:sz w:val="21"/>
                <w:b/>
              </w:rPr>
              <w:t>（</w:t>
            </w:r>
            <w:r>
              <w:rPr>
                <w:sz w:val="21"/>
                <w:b/>
              </w:rPr>
              <w:t>1</w:t>
            </w:r>
            <w:r>
              <w:rPr>
                <w:sz w:val="21"/>
                <w:b/>
              </w:rPr>
              <w:t>套）</w:t>
            </w:r>
          </w:p>
          <w:tbl>
            <w:tblPr>
              <w:tblInd w:type="dxa" w:w="120"/>
              <w:tblBorders>
                <w:top w:val="none" w:color="000000" w:sz="4"/>
                <w:left w:val="none" w:color="000000" w:sz="4"/>
                <w:bottom w:val="none" w:color="000000" w:sz="4"/>
                <w:right w:val="none" w:color="000000" w:sz="4"/>
                <w:insideH w:val="none"/>
                <w:insideV w:val="none"/>
              </w:tblBorders>
            </w:tblPr>
            <w:tblGrid>
              <w:gridCol w:w="1174"/>
              <w:gridCol w:w="1475"/>
              <w:gridCol w:w="2949"/>
            </w:tblGrid>
            <w:tr>
              <w:tc>
                <w:tcPr>
                  <w:tcW w:type="dxa" w:w="1174"/>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b/>
                      <w:color w:val="000000"/>
                    </w:rPr>
                    <w:t>模块</w:t>
                  </w:r>
                </w:p>
              </w:tc>
              <w:tc>
                <w:tcPr>
                  <w:tcW w:type="dxa" w:w="1475"/>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b/>
                      <w:color w:val="000000"/>
                    </w:rPr>
                    <w:t>功能</w:t>
                  </w:r>
                </w:p>
              </w:tc>
              <w:tc>
                <w:tcPr>
                  <w:tcW w:type="dxa" w:w="294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b/>
                      <w:color w:val="000000"/>
                    </w:rPr>
                    <w:t>功能描述</w:t>
                  </w:r>
                </w:p>
              </w:tc>
            </w:tr>
            <w:tr>
              <w:tc>
                <w:tcPr>
                  <w:tcW w:type="dxa" w:w="1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软件系统功能</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系统兼容</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▲移动端兼容</w:t>
                  </w:r>
                  <w:r>
                    <w:rPr>
                      <w:sz w:val="21"/>
                    </w:rPr>
                    <w:t>APP</w:t>
                  </w:r>
                  <w:r>
                    <w:rPr>
                      <w:sz w:val="21"/>
                    </w:rPr>
                    <w:t>（</w:t>
                  </w:r>
                  <w:r>
                    <w:rPr>
                      <w:sz w:val="21"/>
                    </w:rPr>
                    <w:t>Android/IOS</w:t>
                  </w:r>
                  <w:r>
                    <w:rPr>
                      <w:sz w:val="21"/>
                    </w:rPr>
                    <w:t>）、</w:t>
                  </w:r>
                  <w:r>
                    <w:rPr>
                      <w:sz w:val="21"/>
                    </w:rPr>
                    <w:t>SDK</w:t>
                  </w:r>
                  <w:r>
                    <w:rPr>
                      <w:sz w:val="21"/>
                    </w:rPr>
                    <w:t>、微信小程序、企业微信、钉钉小程序、</w:t>
                  </w:r>
                  <w:r>
                    <w:rPr>
                      <w:sz w:val="21"/>
                    </w:rPr>
                    <w:t>H5</w:t>
                  </w:r>
                  <w:r>
                    <w:rPr>
                      <w:sz w:val="21"/>
                    </w:rPr>
                    <w:t>小程序。</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服务配置</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提供服务配置功能，支持通过扫码连接服务或手动添加服务。</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证书登录</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▲提供证书登录功能，提供用户证书选择列表，支持输入证书密码进行登录</w:t>
                  </w:r>
                  <w:r>
                    <w:rPr>
                      <w:sz w:val="21"/>
                      <w:color w:val="000000"/>
                    </w:rPr>
                    <w:t>（</w:t>
                  </w:r>
                  <w:r>
                    <w:rPr>
                      <w:sz w:val="21"/>
                    </w:rPr>
                    <w:t>投标时需提供加盖投标人公章对应功能的产品说明书作为证明材料</w:t>
                  </w:r>
                  <w:r>
                    <w:rPr>
                      <w:sz w:val="21"/>
                      <w:color w:val="000000"/>
                    </w:rPr>
                    <w:t>）</w:t>
                  </w:r>
                  <w:r>
                    <w:rPr>
                      <w:sz w:val="21"/>
                    </w:rPr>
                    <w:t>。</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待签列表</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提供待签列表功能，支持展示未签名的数据列表，点击每条数据后面的</w:t>
                  </w:r>
                  <w:r>
                    <w:rPr>
                      <w:sz w:val="21"/>
                    </w:rPr>
                    <w:t>“签名”即可进行单条数据的签名操作，点击该条待签数据，则可进入该数据的详情页面，也可在详情页面进行签名或者拒签的操作。</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已签列表</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提供已签列表功能，支持展示已经签完名的数据列表，点击每条数据，可进入该已签数据的详情页面。</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拒签列表</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提供拒签列表功能，支持展示拒绝签名的数据列表，点击每条数据，可进入该拒签数据的详情页面。</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批量签署</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▲提供批量签署功能，当待签数据比较多时，点击“批量签署”用户能定向选择多条数据进行批量数据签署，也可直接“全选”将所有待签数据一次性全部签署</w:t>
                  </w:r>
                  <w:r>
                    <w:rPr>
                      <w:sz w:val="21"/>
                      <w:color w:val="000000"/>
                    </w:rPr>
                    <w:t>（</w:t>
                  </w:r>
                  <w:r>
                    <w:rPr>
                      <w:sz w:val="21"/>
                    </w:rPr>
                    <w:t>投标时需提供加盖投标人公章对应功能的产品说明书作为证明材料</w:t>
                  </w:r>
                  <w:r>
                    <w:rPr>
                      <w:sz w:val="21"/>
                      <w:color w:val="000000"/>
                    </w:rPr>
                    <w:t>）</w:t>
                  </w:r>
                  <w:r>
                    <w:rPr>
                      <w:sz w:val="21"/>
                    </w:rPr>
                    <w:t>。</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设置手写签章</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提供设置手写签章功能，支持用户在移动手机上设置本人手写签章，并上传到服务端。</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证书管理</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▲提供证书管理功能，支持生物识别开关、证书密码重置、证书详情、证书删除</w:t>
                  </w:r>
                  <w:r>
                    <w:rPr>
                      <w:sz w:val="21"/>
                      <w:color w:val="000000"/>
                    </w:rPr>
                    <w:t>（</w:t>
                  </w:r>
                  <w:r>
                    <w:rPr>
                      <w:sz w:val="21"/>
                    </w:rPr>
                    <w:t>投标时需提供加盖投标人公章对应功能的产品说明书作为证明材料</w:t>
                  </w:r>
                  <w:r>
                    <w:rPr>
                      <w:sz w:val="21"/>
                      <w:color w:val="000000"/>
                    </w:rPr>
                    <w:t>）</w:t>
                  </w:r>
                  <w:r>
                    <w:rPr>
                      <w:sz w:val="21"/>
                    </w:rPr>
                    <w:t>。</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自动签名管理</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▲提供自动签名管理功能，启用自动签名，则服务端推送的自动签名数据在截止时间之前可以不经移动端签名而自动签名从而直接出现在已签页。</w:t>
                  </w:r>
                </w:p>
              </w:tc>
            </w:tr>
          </w:tbl>
          <w:p>
            <w:pPr>
              <w:pStyle w:val="null3"/>
              <w:ind w:firstLine="422"/>
              <w:jc w:val="left"/>
            </w:pPr>
            <w:r>
              <w:rPr>
                <w:sz w:val="21"/>
                <w:b/>
              </w:rPr>
              <w:t>6.1.3</w:t>
            </w:r>
            <w:r>
              <w:rPr>
                <w:sz w:val="21"/>
                <w:b/>
              </w:rPr>
              <w:t>移动个人数字证书（</w:t>
            </w:r>
            <w:r>
              <w:rPr>
                <w:sz w:val="21"/>
                <w:b/>
              </w:rPr>
              <w:t>2000</w:t>
            </w:r>
            <w:r>
              <w:rPr>
                <w:sz w:val="21"/>
                <w:b/>
              </w:rPr>
              <w:t>张）</w:t>
            </w:r>
          </w:p>
          <w:tbl>
            <w:tblPr>
              <w:tblInd w:type="dxa" w:w="120"/>
              <w:tblBorders>
                <w:top w:val="none" w:color="000000" w:sz="4"/>
                <w:left w:val="none" w:color="000000" w:sz="4"/>
                <w:bottom w:val="none" w:color="000000" w:sz="4"/>
                <w:right w:val="none" w:color="000000" w:sz="4"/>
                <w:insideH w:val="none"/>
                <w:insideV w:val="none"/>
              </w:tblBorders>
            </w:tblPr>
            <w:tblGrid>
              <w:gridCol w:w="1174"/>
              <w:gridCol w:w="1475"/>
              <w:gridCol w:w="2949"/>
            </w:tblGrid>
            <w:tr>
              <w:tc>
                <w:tcPr>
                  <w:tcW w:type="dxa" w:w="1174"/>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b/>
                      <w:color w:val="000000"/>
                    </w:rPr>
                    <w:t>模块</w:t>
                  </w:r>
                </w:p>
              </w:tc>
              <w:tc>
                <w:tcPr>
                  <w:tcW w:type="dxa" w:w="1475"/>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b/>
                      <w:color w:val="000000"/>
                    </w:rPr>
                    <w:t>功能</w:t>
                  </w:r>
                </w:p>
              </w:tc>
              <w:tc>
                <w:tcPr>
                  <w:tcW w:type="dxa" w:w="294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b/>
                      <w:color w:val="000000"/>
                    </w:rPr>
                    <w:t>功能描述</w:t>
                  </w:r>
                </w:p>
              </w:tc>
            </w:tr>
            <w:tr>
              <w:tc>
                <w:tcPr>
                  <w:tcW w:type="dxa" w:w="1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服务功能</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证书用途</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标识个人用户网络身份。</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支持算法</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签发数字证书的电子认证系统和密钥管理系统应支持国密局要求的规范算法。</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证书规范</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符合卫生部《卫生系统数字证书格式规范（试行）》。</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服务规范</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符合卫生部《卫生系统电子认证服务规范（试行）》。</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证书格式</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证书格式标准遵循</w:t>
                  </w:r>
                  <w:r>
                    <w:rPr>
                      <w:sz w:val="21"/>
                    </w:rPr>
                    <w:t>x</w:t>
                  </w:r>
                  <w:r>
                    <w:rPr>
                      <w:sz w:val="21"/>
                    </w:rPr>
                    <w:t>．</w:t>
                  </w:r>
                  <w:r>
                    <w:rPr>
                      <w:sz w:val="21"/>
                    </w:rPr>
                    <w:t>509v3</w:t>
                  </w:r>
                  <w:r>
                    <w:rPr>
                      <w:sz w:val="21"/>
                    </w:rPr>
                    <w:t>标准。</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支持存放介质</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智能</w:t>
                  </w:r>
                  <w:r>
                    <w:rPr>
                      <w:sz w:val="21"/>
                    </w:rPr>
                    <w:t>USBKey</w:t>
                  </w:r>
                  <w:r>
                    <w:rPr>
                      <w:sz w:val="21"/>
                    </w:rPr>
                    <w:t>、</w:t>
                  </w:r>
                  <w:r>
                    <w:rPr>
                      <w:sz w:val="21"/>
                    </w:rPr>
                    <w:t>SDKEY</w:t>
                  </w:r>
                  <w:r>
                    <w:rPr>
                      <w:sz w:val="21"/>
                    </w:rPr>
                    <w:t>、</w:t>
                  </w:r>
                  <w:r>
                    <w:rPr>
                      <w:sz w:val="21"/>
                    </w:rPr>
                    <w:t>UimKey</w:t>
                  </w:r>
                  <w:r>
                    <w:rPr>
                      <w:sz w:val="21"/>
                    </w:rPr>
                    <w:t>等。</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证书拓展</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支持自定义证书扩展域管理。</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移动端密钥</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密钥由移动终端和服务器协商产生，采用密钥分割技术保存密钥。</w:t>
                  </w:r>
                </w:p>
              </w:tc>
            </w:tr>
          </w:tbl>
          <w:p>
            <w:pPr>
              <w:pStyle w:val="null3"/>
              <w:ind w:firstLine="422"/>
              <w:jc w:val="left"/>
            </w:pPr>
            <w:r>
              <w:rPr>
                <w:sz w:val="21"/>
                <w:b/>
              </w:rPr>
              <w:t>6.1.4</w:t>
            </w:r>
            <w:r>
              <w:rPr>
                <w:sz w:val="21"/>
                <w:b/>
              </w:rPr>
              <w:t>时间戳服务器（</w:t>
            </w:r>
            <w:r>
              <w:rPr>
                <w:sz w:val="21"/>
                <w:b/>
              </w:rPr>
              <w:t>2</w:t>
            </w:r>
            <w:r>
              <w:rPr>
                <w:sz w:val="21"/>
                <w:b/>
              </w:rPr>
              <w:t>台）</w:t>
            </w:r>
          </w:p>
          <w:tbl>
            <w:tblPr>
              <w:tblInd w:type="dxa" w:w="120"/>
              <w:tblBorders>
                <w:top w:val="none" w:color="000000" w:sz="4"/>
                <w:left w:val="none" w:color="000000" w:sz="4"/>
                <w:bottom w:val="none" w:color="000000" w:sz="4"/>
                <w:right w:val="none" w:color="000000" w:sz="4"/>
                <w:insideH w:val="none"/>
                <w:insideV w:val="none"/>
              </w:tblBorders>
            </w:tblPr>
            <w:tblGrid>
              <w:gridCol w:w="1174"/>
              <w:gridCol w:w="1475"/>
              <w:gridCol w:w="2949"/>
            </w:tblGrid>
            <w:tr>
              <w:tc>
                <w:tcPr>
                  <w:tcW w:type="dxa" w:w="1174"/>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b/>
                      <w:color w:val="000000"/>
                    </w:rPr>
                    <w:t>模块</w:t>
                  </w:r>
                </w:p>
              </w:tc>
              <w:tc>
                <w:tcPr>
                  <w:tcW w:type="dxa" w:w="1475"/>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b/>
                      <w:color w:val="000000"/>
                    </w:rPr>
                    <w:t>功能</w:t>
                  </w:r>
                </w:p>
              </w:tc>
              <w:tc>
                <w:tcPr>
                  <w:tcW w:type="dxa" w:w="294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b/>
                      <w:color w:val="000000"/>
                    </w:rPr>
                    <w:t>功能描述</w:t>
                  </w:r>
                </w:p>
              </w:tc>
            </w:tr>
            <w:tr>
              <w:tc>
                <w:tcPr>
                  <w:tcW w:type="dxa" w:w="1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软件系统功能</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时间源服务</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提供基于第三方精准的时间源。</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时间同步</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基于</w:t>
                  </w:r>
                  <w:r>
                    <w:rPr>
                      <w:sz w:val="21"/>
                    </w:rPr>
                    <w:t>SNTP</w:t>
                  </w:r>
                  <w:r>
                    <w:rPr>
                      <w:sz w:val="21"/>
                    </w:rPr>
                    <w:t>协议，从指定时间源获取标准时间并同步。</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支持算法</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SM2</w:t>
                  </w:r>
                  <w:r>
                    <w:rPr>
                      <w:sz w:val="21"/>
                    </w:rPr>
                    <w:t>算法。</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TLS</w:t>
                  </w:r>
                  <w:r>
                    <w:rPr>
                      <w:sz w:val="21"/>
                      <w:color w:val="000000"/>
                    </w:rPr>
                    <w:t>验证</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TLS</w:t>
                  </w:r>
                  <w:r>
                    <w:rPr>
                      <w:sz w:val="21"/>
                    </w:rPr>
                    <w:t>验证。</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日志管理</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提供管理日志记录。</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备份恢复</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提供备份恢复功能，保证系统瘫痪时的快速恢复。可通过界面备份当前所有配置，保证系统瘫痪时的快速恢复，支持通过证书对备份数据进行加密，通过验证证书口令解密实现备份数据恢复。</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时间戳签发</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▲支持签发可信时间戳、验证时间戳有效性，时间戳结构符合</w:t>
                  </w:r>
                  <w:r>
                    <w:rPr>
                      <w:sz w:val="21"/>
                    </w:rPr>
                    <w:t>RFC3161/RFC2630/GM0033</w:t>
                  </w:r>
                  <w:r>
                    <w:rPr>
                      <w:sz w:val="21"/>
                    </w:rPr>
                    <w:t>标准，支持以</w:t>
                  </w:r>
                  <w:r>
                    <w:rPr>
                      <w:sz w:val="21"/>
                    </w:rPr>
                    <w:t>Adobe</w:t>
                  </w:r>
                  <w:r>
                    <w:rPr>
                      <w:sz w:val="21"/>
                    </w:rPr>
                    <w:t>免集成方式签发和验证时间戳。</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CA</w:t>
                  </w:r>
                  <w:r>
                    <w:rPr>
                      <w:sz w:val="21"/>
                      <w:color w:val="000000"/>
                    </w:rPr>
                    <w:t>配置</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▲支持配置多</w:t>
                  </w:r>
                  <w:r>
                    <w:rPr>
                      <w:sz w:val="21"/>
                    </w:rPr>
                    <w:t>CA</w:t>
                  </w:r>
                  <w:r>
                    <w:rPr>
                      <w:sz w:val="21"/>
                    </w:rPr>
                    <w:t>签发根证书，对其他</w:t>
                  </w:r>
                  <w:r>
                    <w:rPr>
                      <w:sz w:val="21"/>
                    </w:rPr>
                    <w:t>CA</w:t>
                  </w:r>
                  <w:r>
                    <w:rPr>
                      <w:sz w:val="21"/>
                    </w:rPr>
                    <w:t>签发的时间戳采用</w:t>
                  </w:r>
                  <w:r>
                    <w:rPr>
                      <w:sz w:val="21"/>
                    </w:rPr>
                    <w:t>CRL/LDAP</w:t>
                  </w:r>
                  <w:r>
                    <w:rPr>
                      <w:sz w:val="21"/>
                    </w:rPr>
                    <w:t>验证方式和验证</w:t>
                  </w:r>
                  <w:r>
                    <w:rPr>
                      <w:sz w:val="21"/>
                      <w:color w:val="000000"/>
                    </w:rPr>
                    <w:t>（</w:t>
                  </w:r>
                  <w:r>
                    <w:rPr>
                      <w:sz w:val="21"/>
                    </w:rPr>
                    <w:t>投标时需提供加盖投标人公章对应功能的产品说明书作为证明材料</w:t>
                  </w:r>
                  <w:r>
                    <w:rPr>
                      <w:sz w:val="21"/>
                      <w:color w:val="000000"/>
                    </w:rPr>
                    <w:t>）</w:t>
                  </w:r>
                  <w:r>
                    <w:rPr>
                      <w:sz w:val="21"/>
                    </w:rPr>
                    <w:t>。</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接口支持</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支持多种时间戳服务接口，满足各类应用开发平台调用。</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可视化管理</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支持可视化管理，使用</w:t>
                  </w:r>
                  <w:r>
                    <w:rPr>
                      <w:sz w:val="21"/>
                      <w:color w:val="000000"/>
                    </w:rPr>
                    <w:t>SNMP</w:t>
                  </w:r>
                  <w:r>
                    <w:rPr>
                      <w:sz w:val="21"/>
                      <w:color w:val="000000"/>
                    </w:rPr>
                    <w:t>协议；系统监控、设备硬件及软件的运行状态监测功能。</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管理员配置</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提供分级权限管理模式，分为管理员、操作员、审计员三级，分别赋予不同权限。</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支持接口</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支持应用接口：</w:t>
                  </w:r>
                  <w:r>
                    <w:rPr>
                      <w:sz w:val="21"/>
                      <w:color w:val="000000"/>
                    </w:rPr>
                    <w:t>Java</w:t>
                  </w:r>
                  <w:r>
                    <w:rPr>
                      <w:sz w:val="21"/>
                      <w:color w:val="000000"/>
                    </w:rPr>
                    <w:t>、</w:t>
                  </w:r>
                  <w:r>
                    <w:rPr>
                      <w:sz w:val="21"/>
                      <w:color w:val="000000"/>
                    </w:rPr>
                    <w:t>C</w:t>
                  </w:r>
                  <w:r>
                    <w:rPr>
                      <w:sz w:val="21"/>
                      <w:color w:val="000000"/>
                    </w:rPr>
                    <w:t>、</w:t>
                  </w:r>
                  <w:r>
                    <w:rPr>
                      <w:sz w:val="21"/>
                      <w:color w:val="000000"/>
                    </w:rPr>
                    <w:t>COM</w:t>
                  </w:r>
                  <w:r>
                    <w:rPr>
                      <w:sz w:val="21"/>
                      <w:color w:val="000000"/>
                    </w:rPr>
                    <w:t>。</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支持算法</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w:t>
                  </w:r>
                  <w:r>
                    <w:rPr>
                      <w:sz w:val="21"/>
                      <w:color w:val="000000"/>
                    </w:rPr>
                    <w:t>SM2</w:t>
                  </w:r>
                  <w:r>
                    <w:rPr>
                      <w:sz w:val="21"/>
                      <w:color w:val="000000"/>
                    </w:rPr>
                    <w:t>、</w:t>
                  </w:r>
                  <w:r>
                    <w:rPr>
                      <w:sz w:val="21"/>
                      <w:color w:val="000000"/>
                    </w:rPr>
                    <w:t>SM3</w:t>
                  </w:r>
                  <w:r>
                    <w:rPr>
                      <w:sz w:val="21"/>
                      <w:color w:val="000000"/>
                    </w:rPr>
                    <w:t>算法标准。</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时间精度</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授时精度</w:t>
                  </w:r>
                  <w:r>
                    <w:rPr>
                      <w:sz w:val="21"/>
                    </w:rPr>
                    <w:t>0.5-3ms</w:t>
                  </w:r>
                  <w:r>
                    <w:rPr>
                      <w:sz w:val="21"/>
                    </w:rPr>
                    <w:t>（毫秒），守时精度＜</w:t>
                  </w:r>
                  <w:r>
                    <w:rPr>
                      <w:sz w:val="21"/>
                    </w:rPr>
                    <w:t>1ms</w:t>
                  </w:r>
                  <w:r>
                    <w:rPr>
                      <w:sz w:val="21"/>
                    </w:rPr>
                    <w:t>（</w:t>
                  </w:r>
                  <w:r>
                    <w:rPr>
                      <w:sz w:val="21"/>
                    </w:rPr>
                    <w:t>72</w:t>
                  </w:r>
                  <w:r>
                    <w:rPr>
                      <w:sz w:val="21"/>
                    </w:rPr>
                    <w:t>小时）。</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性能要求</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SM2</w:t>
                  </w:r>
                  <w:r>
                    <w:rPr>
                      <w:sz w:val="21"/>
                      <w:color w:val="000000"/>
                    </w:rPr>
                    <w:t>签名≥</w:t>
                  </w:r>
                  <w:r>
                    <w:rPr>
                      <w:sz w:val="21"/>
                      <w:color w:val="000000"/>
                    </w:rPr>
                    <w:t>1000</w:t>
                  </w:r>
                  <w:r>
                    <w:rPr>
                      <w:sz w:val="21"/>
                      <w:color w:val="000000"/>
                    </w:rPr>
                    <w:t>次</w:t>
                  </w:r>
                  <w:r>
                    <w:rPr>
                      <w:sz w:val="21"/>
                      <w:color w:val="000000"/>
                    </w:rPr>
                    <w:t>/</w:t>
                  </w:r>
                  <w:r>
                    <w:rPr>
                      <w:sz w:val="21"/>
                      <w:color w:val="000000"/>
                    </w:rPr>
                    <w:t>秒，</w:t>
                  </w:r>
                  <w:r>
                    <w:rPr>
                      <w:sz w:val="21"/>
                      <w:color w:val="000000"/>
                    </w:rPr>
                    <w:t>SM2</w:t>
                  </w:r>
                  <w:r>
                    <w:rPr>
                      <w:sz w:val="21"/>
                      <w:color w:val="000000"/>
                    </w:rPr>
                    <w:t>验签≥</w:t>
                  </w:r>
                  <w:r>
                    <w:rPr>
                      <w:sz w:val="21"/>
                      <w:color w:val="000000"/>
                    </w:rPr>
                    <w:t>500</w:t>
                  </w:r>
                  <w:r>
                    <w:rPr>
                      <w:sz w:val="21"/>
                      <w:color w:val="000000"/>
                    </w:rPr>
                    <w:t>次</w:t>
                  </w:r>
                  <w:r>
                    <w:rPr>
                      <w:sz w:val="21"/>
                      <w:color w:val="000000"/>
                    </w:rPr>
                    <w:t>/</w:t>
                  </w:r>
                  <w:r>
                    <w:rPr>
                      <w:sz w:val="21"/>
                      <w:color w:val="000000"/>
                    </w:rPr>
                    <w:t>秒。</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稳定性</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1000</w:t>
                  </w:r>
                  <w:r>
                    <w:rPr>
                      <w:sz w:val="21"/>
                      <w:color w:val="000000"/>
                    </w:rPr>
                    <w:t>并发时，平均响应时间</w:t>
                  </w:r>
                  <w:r>
                    <w:rPr>
                      <w:sz w:val="21"/>
                      <w:color w:val="000000"/>
                    </w:rPr>
                    <w:t>＜</w:t>
                  </w:r>
                  <w:r>
                    <w:rPr>
                      <w:sz w:val="21"/>
                      <w:color w:val="000000"/>
                    </w:rPr>
                    <w:t>0.5s</w:t>
                  </w:r>
                  <w:r>
                    <w:rPr>
                      <w:sz w:val="21"/>
                      <w:color w:val="000000"/>
                    </w:rPr>
                    <w:t>；</w:t>
                  </w:r>
                  <w:r>
                    <w:rPr>
                      <w:sz w:val="21"/>
                      <w:color w:val="000000"/>
                    </w:rPr>
                    <w:t>2000</w:t>
                  </w:r>
                  <w:r>
                    <w:rPr>
                      <w:sz w:val="21"/>
                      <w:color w:val="000000"/>
                    </w:rPr>
                    <w:t>并发时，平均响应时间</w:t>
                  </w:r>
                  <w:r>
                    <w:rPr>
                      <w:sz w:val="21"/>
                      <w:color w:val="000000"/>
                    </w:rPr>
                    <w:t>＜</w:t>
                  </w:r>
                  <w:r>
                    <w:rPr>
                      <w:sz w:val="21"/>
                      <w:color w:val="000000"/>
                    </w:rPr>
                    <w:t>0.8s</w:t>
                  </w:r>
                  <w:r>
                    <w:rPr>
                      <w:sz w:val="21"/>
                      <w:color w:val="000000"/>
                    </w:rPr>
                    <w:t>。</w:t>
                  </w:r>
                </w:p>
              </w:tc>
            </w:tr>
            <w:tr>
              <w:tc>
                <w:tcPr>
                  <w:tcW w:type="dxa" w:w="1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硬件平台配置</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设备高度</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2U</w:t>
                  </w:r>
                  <w:r>
                    <w:rPr>
                      <w:sz w:val="21"/>
                      <w:color w:val="000000"/>
                    </w:rPr>
                    <w:t>。</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CPU</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w:t>
                  </w:r>
                  <w:r>
                    <w:rPr>
                      <w:sz w:val="21"/>
                    </w:rPr>
                    <w:t>核，</w:t>
                  </w:r>
                  <w:r>
                    <w:rPr>
                      <w:sz w:val="21"/>
                    </w:rPr>
                    <w:t>4.0GHz</w:t>
                  </w:r>
                  <w:r>
                    <w:rPr>
                      <w:sz w:val="21"/>
                    </w:rPr>
                    <w:t>。</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内存</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w:t>
                  </w:r>
                  <w:r>
                    <w:rPr>
                      <w:sz w:val="21"/>
                    </w:rPr>
                    <w:t>×</w:t>
                  </w:r>
                  <w:r>
                    <w:rPr>
                      <w:sz w:val="21"/>
                    </w:rPr>
                    <w:t>8G</w:t>
                  </w:r>
                  <w:r>
                    <w:rPr>
                      <w:sz w:val="21"/>
                    </w:rPr>
                    <w:t>。</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w:t>
                  </w:r>
                  <w:r>
                    <w:rPr>
                      <w:sz w:val="21"/>
                    </w:rPr>
                    <w:t>×</w:t>
                  </w:r>
                  <w:r>
                    <w:rPr>
                      <w:sz w:val="21"/>
                    </w:rPr>
                    <w:t>4T</w:t>
                  </w:r>
                  <w:r>
                    <w:rPr>
                      <w:sz w:val="21"/>
                    </w:rPr>
                    <w:t>。</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时间源</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支持外部时钟设备作为时间源</w:t>
                  </w:r>
                  <w:r>
                    <w:rPr>
                      <w:sz w:val="21"/>
                      <w:color w:val="000000"/>
                    </w:rPr>
                    <w:t>。配合</w:t>
                  </w:r>
                  <w:r>
                    <w:rPr>
                      <w:sz w:val="21"/>
                      <w:color w:val="000000"/>
                    </w:rPr>
                    <w:t>医院</w:t>
                  </w:r>
                  <w:r>
                    <w:rPr>
                      <w:sz w:val="21"/>
                      <w:color w:val="000000"/>
                    </w:rPr>
                    <w:t>与</w:t>
                  </w:r>
                  <w:r>
                    <w:rPr>
                      <w:sz w:val="21"/>
                      <w:color w:val="000000"/>
                    </w:rPr>
                    <w:t>现有时钟管理系统完成相关对接。</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550W 1+1</w:t>
                  </w:r>
                  <w:r>
                    <w:rPr>
                      <w:sz w:val="21"/>
                      <w:color w:val="000000"/>
                    </w:rPr>
                    <w:t>标准服务器冗余电源。</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网口</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不低于</w:t>
                  </w:r>
                  <w:r>
                    <w:rPr>
                      <w:sz w:val="21"/>
                      <w:color w:val="000000"/>
                    </w:rPr>
                    <w:t>2</w:t>
                  </w:r>
                  <w:r>
                    <w:rPr>
                      <w:sz w:val="21"/>
                      <w:color w:val="000000"/>
                    </w:rPr>
                    <w:t>×</w:t>
                  </w:r>
                  <w:r>
                    <w:rPr>
                      <w:sz w:val="21"/>
                      <w:color w:val="000000"/>
                    </w:rPr>
                    <w:t>100/1000M</w:t>
                  </w:r>
                  <w:r>
                    <w:rPr>
                      <w:sz w:val="21"/>
                      <w:color w:val="000000"/>
                    </w:rPr>
                    <w:t>自适应网口。</w:t>
                  </w:r>
                </w:p>
              </w:tc>
            </w:tr>
          </w:tbl>
          <w:p>
            <w:pPr>
              <w:pStyle w:val="null3"/>
              <w:ind w:firstLine="422"/>
              <w:jc w:val="left"/>
            </w:pPr>
            <w:r>
              <w:rPr>
                <w:sz w:val="21"/>
                <w:b/>
              </w:rPr>
              <w:t>6.1.5</w:t>
            </w:r>
            <w:r>
              <w:rPr>
                <w:sz w:val="21"/>
                <w:b/>
              </w:rPr>
              <w:t>手写信息数字签名系统（</w:t>
            </w:r>
            <w:r>
              <w:rPr>
                <w:sz w:val="21"/>
                <w:b/>
              </w:rPr>
              <w:t>2</w:t>
            </w:r>
            <w:r>
              <w:rPr>
                <w:sz w:val="21"/>
                <w:b/>
              </w:rPr>
              <w:t>台）</w:t>
            </w:r>
          </w:p>
          <w:tbl>
            <w:tblPr>
              <w:tblInd w:type="dxa" w:w="120"/>
              <w:tblBorders>
                <w:top w:val="none" w:color="000000" w:sz="4"/>
                <w:left w:val="none" w:color="000000" w:sz="4"/>
                <w:bottom w:val="none" w:color="000000" w:sz="4"/>
                <w:right w:val="none" w:color="000000" w:sz="4"/>
                <w:insideH w:val="none"/>
                <w:insideV w:val="none"/>
              </w:tblBorders>
            </w:tblPr>
            <w:tblGrid>
              <w:gridCol w:w="1174"/>
              <w:gridCol w:w="1475"/>
              <w:gridCol w:w="2949"/>
            </w:tblGrid>
            <w:tr>
              <w:tc>
                <w:tcPr>
                  <w:tcW w:type="dxa" w:w="1174"/>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b/>
                      <w:color w:val="000000"/>
                    </w:rPr>
                    <w:t>模块</w:t>
                  </w:r>
                </w:p>
              </w:tc>
              <w:tc>
                <w:tcPr>
                  <w:tcW w:type="dxa" w:w="1475"/>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b/>
                      <w:color w:val="000000"/>
                    </w:rPr>
                    <w:t>功能</w:t>
                  </w:r>
                </w:p>
              </w:tc>
              <w:tc>
                <w:tcPr>
                  <w:tcW w:type="dxa" w:w="294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b/>
                      <w:color w:val="000000"/>
                    </w:rPr>
                    <w:t>功能描述</w:t>
                  </w:r>
                </w:p>
              </w:tc>
            </w:tr>
            <w:tr>
              <w:tc>
                <w:tcPr>
                  <w:tcW w:type="dxa" w:w="1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软件系统功能</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电子签章服务（患者签名）</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w:t>
                  </w:r>
                  <w:r>
                    <w:rPr>
                      <w:sz w:val="21"/>
                      <w:color w:val="000000"/>
                    </w:rPr>
                    <w:t>CA</w:t>
                  </w:r>
                  <w:r>
                    <w:rPr>
                      <w:sz w:val="21"/>
                      <w:color w:val="000000"/>
                    </w:rPr>
                    <w:t>机构数字证书支持：支持第三方</w:t>
                  </w:r>
                  <w:r>
                    <w:rPr>
                      <w:sz w:val="21"/>
                      <w:color w:val="000000"/>
                    </w:rPr>
                    <w:t>CA</w:t>
                  </w:r>
                  <w:r>
                    <w:rPr>
                      <w:sz w:val="21"/>
                      <w:color w:val="000000"/>
                    </w:rPr>
                    <w:t>机构签发的数字证书。</w:t>
                  </w:r>
                </w:p>
                <w:p>
                  <w:pPr>
                    <w:pStyle w:val="null3"/>
                    <w:jc w:val="both"/>
                  </w:pPr>
                  <w:r>
                    <w:rPr>
                      <w:sz w:val="21"/>
                      <w:color w:val="000000"/>
                    </w:rPr>
                    <w:t>2</w:t>
                  </w:r>
                  <w:r>
                    <w:rPr>
                      <w:sz w:val="21"/>
                      <w:color w:val="000000"/>
                    </w:rPr>
                    <w:t>）确认文档签署者身份：通过验证签署者的数字证书是否有效来证明签署者身份的真实可靠性，并可以查看签署者身份证书，从而确认签署者。</w:t>
                  </w:r>
                </w:p>
                <w:p>
                  <w:pPr>
                    <w:pStyle w:val="null3"/>
                    <w:jc w:val="both"/>
                  </w:pPr>
                  <w:r>
                    <w:rPr>
                      <w:sz w:val="21"/>
                      <w:color w:val="000000"/>
                    </w:rPr>
                    <w:t>▲</w:t>
                  </w:r>
                  <w:r>
                    <w:rPr>
                      <w:sz w:val="21"/>
                      <w:color w:val="000000"/>
                    </w:rPr>
                    <w:t>3</w:t>
                  </w:r>
                  <w:r>
                    <w:rPr>
                      <w:sz w:val="21"/>
                      <w:color w:val="000000"/>
                    </w:rPr>
                    <w:t>）保护文档不被非法篡改：能对所签文档内容进行完整性认证，确定其是否被篡改。如果签署后的文档发生了变更，验证时则会提示文档验证不通过（即文档验证失败）。</w:t>
                  </w:r>
                </w:p>
                <w:p>
                  <w:pPr>
                    <w:pStyle w:val="null3"/>
                    <w:jc w:val="both"/>
                  </w:pPr>
                  <w:r>
                    <w:rPr>
                      <w:sz w:val="21"/>
                      <w:color w:val="000000"/>
                    </w:rPr>
                    <w:t>4</w:t>
                  </w:r>
                  <w:r>
                    <w:rPr>
                      <w:sz w:val="21"/>
                      <w:color w:val="000000"/>
                    </w:rPr>
                    <w:t>）确保文档签署者不可否认：通过数字签名的唯一性及可验证性，从而确保签署者对所签文档的不可抵赖。</w:t>
                  </w:r>
                </w:p>
                <w:p>
                  <w:pPr>
                    <w:pStyle w:val="null3"/>
                    <w:jc w:val="both"/>
                  </w:pPr>
                  <w:r>
                    <w:rPr>
                      <w:sz w:val="21"/>
                      <w:color w:val="000000"/>
                    </w:rPr>
                    <w:t>5</w:t>
                  </w:r>
                  <w:r>
                    <w:rPr>
                      <w:sz w:val="21"/>
                      <w:color w:val="000000"/>
                    </w:rPr>
                    <w:t>）支持</w:t>
                  </w:r>
                  <w:r>
                    <w:rPr>
                      <w:sz w:val="21"/>
                      <w:color w:val="000000"/>
                    </w:rPr>
                    <w:t>PDF</w:t>
                  </w:r>
                  <w:r>
                    <w:rPr>
                      <w:sz w:val="21"/>
                      <w:color w:val="000000"/>
                    </w:rPr>
                    <w:t>格式，并且印章需符合</w:t>
                  </w:r>
                  <w:r>
                    <w:rPr>
                      <w:sz w:val="21"/>
                      <w:color w:val="000000"/>
                    </w:rPr>
                    <w:t>PDF</w:t>
                  </w:r>
                  <w:r>
                    <w:rPr>
                      <w:sz w:val="21"/>
                      <w:color w:val="000000"/>
                    </w:rPr>
                    <w:t>的签章标准，支持</w:t>
                  </w:r>
                  <w:r>
                    <w:rPr>
                      <w:sz w:val="21"/>
                      <w:color w:val="000000"/>
                    </w:rPr>
                    <w:t>Adobe Reader</w:t>
                  </w:r>
                  <w:r>
                    <w:rPr>
                      <w:sz w:val="21"/>
                      <w:color w:val="000000"/>
                    </w:rPr>
                    <w:t>直接验证，无需安装任何插件。</w:t>
                  </w:r>
                </w:p>
                <w:p>
                  <w:pPr>
                    <w:pStyle w:val="null3"/>
                    <w:jc w:val="both"/>
                  </w:pPr>
                  <w:r>
                    <w:rPr>
                      <w:sz w:val="21"/>
                      <w:color w:val="000000"/>
                    </w:rPr>
                    <w:t>6</w:t>
                  </w:r>
                  <w:r>
                    <w:rPr>
                      <w:sz w:val="21"/>
                      <w:color w:val="000000"/>
                    </w:rPr>
                    <w:t>）支持与采购人信息系统的集成，协助应用程序厂家进行接口改造。</w:t>
                  </w:r>
                </w:p>
                <w:p>
                  <w:pPr>
                    <w:pStyle w:val="null3"/>
                    <w:jc w:val="both"/>
                  </w:pPr>
                  <w:r>
                    <w:rPr>
                      <w:sz w:val="21"/>
                      <w:color w:val="000000"/>
                    </w:rPr>
                    <w:t>7</w:t>
                  </w:r>
                  <w:r>
                    <w:rPr>
                      <w:sz w:val="21"/>
                      <w:color w:val="000000"/>
                    </w:rPr>
                    <w:t>）支持</w:t>
                  </w:r>
                  <w:r>
                    <w:rPr>
                      <w:sz w:val="21"/>
                      <w:color w:val="000000"/>
                    </w:rPr>
                    <w:t>PDF</w:t>
                  </w:r>
                  <w:r>
                    <w:rPr>
                      <w:sz w:val="21"/>
                      <w:color w:val="000000"/>
                    </w:rPr>
                    <w:t>文档批量盖章，支持坐标定位文本定位批量盖章。</w:t>
                  </w:r>
                </w:p>
                <w:p>
                  <w:pPr>
                    <w:pStyle w:val="null3"/>
                    <w:jc w:val="both"/>
                  </w:pPr>
                  <w:r>
                    <w:rPr>
                      <w:sz w:val="21"/>
                      <w:color w:val="000000"/>
                    </w:rPr>
                    <w:t>8</w:t>
                  </w:r>
                  <w:r>
                    <w:rPr>
                      <w:sz w:val="21"/>
                      <w:color w:val="000000"/>
                    </w:rPr>
                    <w:t>）结合电子签名、时间戳等技术为电子病案文件提供归档与长期保存解决方案，解决文件电子签名独立验证、时间链条的可追溯，电子文件保护策略等。</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患者电子签名</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）患者电子签名主要是指患者数据电文中以电子形式所含、所附用于识别签名人身份并表明签名人认可其中内容的数据。</w:t>
                  </w:r>
                </w:p>
                <w:p>
                  <w:pPr>
                    <w:pStyle w:val="null3"/>
                    <w:jc w:val="both"/>
                  </w:pPr>
                  <w:r>
                    <w:rPr>
                      <w:sz w:val="21"/>
                      <w:color w:val="000000"/>
                    </w:rPr>
                    <w:t>▲</w:t>
                  </w:r>
                  <w:r>
                    <w:rPr>
                      <w:sz w:val="21"/>
                      <w:color w:val="000000"/>
                    </w:rPr>
                    <w:t>2</w:t>
                  </w:r>
                  <w:r>
                    <w:rPr>
                      <w:sz w:val="21"/>
                      <w:color w:val="000000"/>
                    </w:rPr>
                    <w:t>）支持患者电子签名（知情文书、手写签名、知情文书应用、证书签发服务、</w:t>
                  </w:r>
                  <w:r>
                    <w:rPr>
                      <w:sz w:val="21"/>
                      <w:color w:val="000000"/>
                    </w:rPr>
                    <w:t>短效证书或</w:t>
                  </w:r>
                  <w:r>
                    <w:rPr>
                      <w:sz w:val="21"/>
                      <w:color w:val="000000"/>
                    </w:rPr>
                    <w:t>事件型证书、数据采集、数据处理、数据归档、手写签名应用）、电子签名接口改造。</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知情文书签名服务</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）在知情文书生成后，借助外部设备对患者</w:t>
                  </w:r>
                  <w:r>
                    <w:rPr>
                      <w:sz w:val="21"/>
                      <w:color w:val="000000"/>
                    </w:rPr>
                    <w:t>/</w:t>
                  </w:r>
                  <w:r>
                    <w:rPr>
                      <w:sz w:val="21"/>
                      <w:color w:val="000000"/>
                    </w:rPr>
                    <w:t>家属进行身份数据采集。将采集的个人信息，如指纹信息和手写签名笔迹等，固化在</w:t>
                  </w:r>
                  <w:r>
                    <w:rPr>
                      <w:sz w:val="21"/>
                      <w:color w:val="000000"/>
                    </w:rPr>
                    <w:t>PDF</w:t>
                  </w:r>
                  <w:r>
                    <w:rPr>
                      <w:sz w:val="21"/>
                      <w:color w:val="000000"/>
                    </w:rPr>
                    <w:t>的知情同意书文档中。</w:t>
                  </w:r>
                </w:p>
                <w:p>
                  <w:pPr>
                    <w:pStyle w:val="null3"/>
                    <w:jc w:val="both"/>
                  </w:pPr>
                  <w:r>
                    <w:rPr>
                      <w:sz w:val="21"/>
                      <w:color w:val="000000"/>
                    </w:rPr>
                    <w:t>2</w:t>
                  </w:r>
                  <w:r>
                    <w:rPr>
                      <w:sz w:val="21"/>
                      <w:color w:val="000000"/>
                    </w:rPr>
                    <w:t>）文档处理，可通过手写板，抓取用户的手写笔迹形成图片，并把图片嵌入到</w:t>
                  </w:r>
                  <w:r>
                    <w:rPr>
                      <w:sz w:val="21"/>
                      <w:color w:val="000000"/>
                    </w:rPr>
                    <w:t>PDF</w:t>
                  </w:r>
                  <w:r>
                    <w:rPr>
                      <w:sz w:val="21"/>
                      <w:color w:val="000000"/>
                    </w:rPr>
                    <w:t>文档中。</w:t>
                  </w:r>
                </w:p>
                <w:p>
                  <w:pPr>
                    <w:pStyle w:val="null3"/>
                    <w:jc w:val="both"/>
                  </w:pPr>
                  <w:r>
                    <w:rPr>
                      <w:sz w:val="21"/>
                      <w:color w:val="000000"/>
                    </w:rPr>
                    <w:t>3</w:t>
                  </w:r>
                  <w:r>
                    <w:rPr>
                      <w:sz w:val="21"/>
                      <w:color w:val="000000"/>
                    </w:rPr>
                    <w:t>）电子签章和时间戳，可对</w:t>
                  </w:r>
                  <w:r>
                    <w:rPr>
                      <w:sz w:val="21"/>
                      <w:color w:val="000000"/>
                    </w:rPr>
                    <w:t>PDF</w:t>
                  </w:r>
                  <w:r>
                    <w:rPr>
                      <w:sz w:val="21"/>
                      <w:color w:val="000000"/>
                    </w:rPr>
                    <w:t>文档插入电子签章和时间戳。</w:t>
                  </w:r>
                </w:p>
                <w:p>
                  <w:pPr>
                    <w:pStyle w:val="null3"/>
                    <w:jc w:val="both"/>
                  </w:pPr>
                  <w:r>
                    <w:rPr>
                      <w:sz w:val="21"/>
                      <w:color w:val="000000"/>
                    </w:rPr>
                    <w:t>4</w:t>
                  </w:r>
                  <w:r>
                    <w:rPr>
                      <w:sz w:val="21"/>
                      <w:color w:val="000000"/>
                    </w:rPr>
                    <w:t>）支持拍照、录音，医生可根据实际需要，开启谈话录音、签署录像、拍照等功能。</w:t>
                  </w:r>
                </w:p>
                <w:p>
                  <w:pPr>
                    <w:pStyle w:val="null3"/>
                    <w:jc w:val="both"/>
                  </w:pPr>
                  <w:r>
                    <w:rPr>
                      <w:sz w:val="21"/>
                      <w:color w:val="000000"/>
                    </w:rPr>
                    <w:t>5</w:t>
                  </w:r>
                  <w:r>
                    <w:rPr>
                      <w:sz w:val="21"/>
                      <w:color w:val="000000"/>
                    </w:rPr>
                    <w:t>）提交，提交后系统不再可以修改，为电子归档提供基础文档数据。</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终端支持</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支持通过手写数字签名终端，获取签名人手写签字笔迹，作为数字签名可视化展现效果图示。</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证书签发</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申请和获取签名数字证书。根据签名业务及签名人鉴证信息，向电子认证服务机构证书服务平台申请颁发数字证书。</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支持算法</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w:t>
                  </w:r>
                  <w:r>
                    <w:rPr>
                      <w:sz w:val="21"/>
                      <w:color w:val="000000"/>
                    </w:rPr>
                    <w:t>SM2\SM3\SM4</w:t>
                  </w:r>
                  <w:r>
                    <w:rPr>
                      <w:sz w:val="21"/>
                      <w:color w:val="000000"/>
                    </w:rPr>
                    <w:t>密码算法，使用</w:t>
                  </w:r>
                  <w:r>
                    <w:rPr>
                      <w:sz w:val="21"/>
                      <w:color w:val="000000"/>
                    </w:rPr>
                    <w:t>SM2</w:t>
                  </w:r>
                  <w:r>
                    <w:rPr>
                      <w:sz w:val="21"/>
                      <w:color w:val="000000"/>
                    </w:rPr>
                    <w:t>数字签名密码算法，对电子文书进行密码运算，保护电子文书的有效性、合法性。</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证书统计</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支持统计事件证书数量。</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短信验证码签名</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支持短信验证码签名，用户通过手机短信验证码认证方式确认签名操作，自动生成签名笔迹。</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签署方式</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▲支持一名一签，一名多签，多名多签，主要用于患者或家属在签署多份知情同意类文书签署场景。</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签名转化</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CA</w:t>
                  </w:r>
                  <w:r>
                    <w:rPr>
                      <w:sz w:val="21"/>
                      <w:color w:val="000000"/>
                    </w:rPr>
                    <w:t>中心根据手写数字签名系统采集和固化的可靠签署内容与行为数据，签发</w:t>
                  </w:r>
                  <w:r>
                    <w:rPr>
                      <w:sz w:val="21"/>
                      <w:color w:val="000000"/>
                    </w:rPr>
                    <w:t>短效证书或事件型证书</w:t>
                  </w:r>
                  <w:r>
                    <w:rPr>
                      <w:sz w:val="21"/>
                      <w:color w:val="000000"/>
                    </w:rPr>
                    <w:t>，将手写签名转换为电子签名。</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运维监控</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可对服务器</w:t>
                  </w:r>
                  <w:r>
                    <w:rPr>
                      <w:sz w:val="21"/>
                      <w:color w:val="000000"/>
                    </w:rPr>
                    <w:t>CPU</w:t>
                  </w:r>
                  <w:r>
                    <w:rPr>
                      <w:sz w:val="21"/>
                      <w:color w:val="000000"/>
                    </w:rPr>
                    <w:t>使用率、内存使用率、硬盘使用率、</w:t>
                  </w:r>
                  <w:r>
                    <w:rPr>
                      <w:sz w:val="21"/>
                      <w:color w:val="000000"/>
                    </w:rPr>
                    <w:t>I/O</w:t>
                  </w:r>
                  <w:r>
                    <w:rPr>
                      <w:sz w:val="21"/>
                      <w:color w:val="000000"/>
                    </w:rPr>
                    <w:t>读写等设备信息进行监控。</w:t>
                  </w:r>
                </w:p>
              </w:tc>
            </w:tr>
            <w:tr>
              <w:tc>
                <w:tcPr>
                  <w:tcW w:type="dxa" w:w="1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硬件平台配置</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设备高度</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2U</w:t>
                  </w:r>
                  <w:r>
                    <w:rPr>
                      <w:sz w:val="21"/>
                      <w:color w:val="000000"/>
                    </w:rPr>
                    <w:t>。</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w:t>
                  </w:r>
                  <w:r>
                    <w:rPr>
                      <w:sz w:val="21"/>
                    </w:rPr>
                    <w:t>核，</w:t>
                  </w:r>
                  <w:r>
                    <w:rPr>
                      <w:sz w:val="21"/>
                    </w:rPr>
                    <w:t>3.5GHz</w:t>
                  </w:r>
                  <w:r>
                    <w:rPr>
                      <w:sz w:val="21"/>
                    </w:rPr>
                    <w:t>。</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内存</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w:t>
                  </w:r>
                  <w:r>
                    <w:rPr>
                      <w:sz w:val="21"/>
                    </w:rPr>
                    <w:t>×</w:t>
                  </w:r>
                  <w:r>
                    <w:rPr>
                      <w:sz w:val="21"/>
                    </w:rPr>
                    <w:t>8G</w:t>
                  </w:r>
                  <w:r>
                    <w:rPr>
                      <w:sz w:val="21"/>
                    </w:rPr>
                    <w:t>。</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硬盘</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w:t>
                  </w:r>
                  <w:r>
                    <w:rPr>
                      <w:sz w:val="21"/>
                    </w:rPr>
                    <w:t>×</w:t>
                  </w:r>
                  <w:r>
                    <w:rPr>
                      <w:sz w:val="21"/>
                    </w:rPr>
                    <w:t>4T</w:t>
                  </w:r>
                  <w:r>
                    <w:rPr>
                      <w:sz w:val="21"/>
                    </w:rPr>
                    <w:t>。</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密码卡</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内置满足密码模块安全等级第二级相关要求的密码卡。</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550W 1+1</w:t>
                  </w:r>
                  <w:r>
                    <w:rPr>
                      <w:sz w:val="21"/>
                      <w:color w:val="000000"/>
                    </w:rPr>
                    <w:t>标准服务器冗余电源。</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网口</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不低于</w:t>
                  </w:r>
                  <w:r>
                    <w:rPr>
                      <w:sz w:val="21"/>
                      <w:color w:val="000000"/>
                    </w:rPr>
                    <w:t>2</w:t>
                  </w:r>
                  <w:r>
                    <w:rPr>
                      <w:sz w:val="21"/>
                      <w:color w:val="000000"/>
                    </w:rPr>
                    <w:t>×</w:t>
                  </w:r>
                  <w:r>
                    <w:rPr>
                      <w:sz w:val="21"/>
                      <w:color w:val="000000"/>
                    </w:rPr>
                    <w:t>100/1000M</w:t>
                  </w:r>
                  <w:r>
                    <w:rPr>
                      <w:sz w:val="21"/>
                      <w:color w:val="000000"/>
                    </w:rPr>
                    <w:t>自适应网口。</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设备负载</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支持双机、负载均衡。</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性能指标</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基于</w:t>
                  </w:r>
                  <w:r>
                    <w:rPr>
                      <w:sz w:val="21"/>
                      <w:color w:val="000000"/>
                    </w:rPr>
                    <w:t>SM2</w:t>
                  </w:r>
                  <w:r>
                    <w:rPr>
                      <w:sz w:val="21"/>
                      <w:color w:val="000000"/>
                    </w:rPr>
                    <w:t>算法手写签名效率≥</w:t>
                  </w:r>
                  <w:r>
                    <w:rPr>
                      <w:sz w:val="21"/>
                      <w:color w:val="000000"/>
                    </w:rPr>
                    <w:t>108000</w:t>
                  </w:r>
                  <w:r>
                    <w:rPr>
                      <w:sz w:val="21"/>
                      <w:color w:val="000000"/>
                    </w:rPr>
                    <w:t>笔</w:t>
                  </w:r>
                  <w:r>
                    <w:rPr>
                      <w:sz w:val="21"/>
                      <w:color w:val="000000"/>
                    </w:rPr>
                    <w:t>/</w:t>
                  </w:r>
                  <w:r>
                    <w:rPr>
                      <w:sz w:val="21"/>
                      <w:color w:val="000000"/>
                    </w:rPr>
                    <w:t>小时。</w:t>
                  </w:r>
                </w:p>
              </w:tc>
            </w:tr>
          </w:tbl>
          <w:p>
            <w:pPr>
              <w:pStyle w:val="null3"/>
              <w:ind w:firstLine="422"/>
              <w:jc w:val="left"/>
            </w:pPr>
            <w:r>
              <w:rPr>
                <w:sz w:val="21"/>
                <w:b/>
              </w:rPr>
              <w:t>6.1.6</w:t>
            </w:r>
            <w:r>
              <w:rPr>
                <w:sz w:val="21"/>
                <w:b/>
              </w:rPr>
              <w:t>电子病历移动签署系统（</w:t>
            </w:r>
            <w:r>
              <w:rPr>
                <w:sz w:val="21"/>
                <w:b/>
              </w:rPr>
              <w:t>1</w:t>
            </w:r>
            <w:r>
              <w:rPr>
                <w:sz w:val="21"/>
                <w:b/>
              </w:rPr>
              <w:t>套）</w:t>
            </w:r>
          </w:p>
          <w:tbl>
            <w:tblPr>
              <w:tblInd w:type="dxa" w:w="120"/>
              <w:tblBorders>
                <w:top w:val="none" w:color="000000" w:sz="4"/>
                <w:left w:val="none" w:color="000000" w:sz="4"/>
                <w:bottom w:val="none" w:color="000000" w:sz="4"/>
                <w:right w:val="none" w:color="000000" w:sz="4"/>
                <w:insideH w:val="none"/>
                <w:insideV w:val="none"/>
              </w:tblBorders>
            </w:tblPr>
            <w:tblGrid>
              <w:gridCol w:w="1174"/>
              <w:gridCol w:w="1475"/>
              <w:gridCol w:w="2949"/>
            </w:tblGrid>
            <w:tr>
              <w:tc>
                <w:tcPr>
                  <w:tcW w:type="dxa" w:w="1174"/>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b/>
                      <w:color w:val="000000"/>
                    </w:rPr>
                    <w:t>模块</w:t>
                  </w:r>
                </w:p>
              </w:tc>
              <w:tc>
                <w:tcPr>
                  <w:tcW w:type="dxa" w:w="1475"/>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b/>
                      <w:color w:val="000000"/>
                    </w:rPr>
                    <w:t>功能</w:t>
                  </w:r>
                </w:p>
              </w:tc>
              <w:tc>
                <w:tcPr>
                  <w:tcW w:type="dxa" w:w="294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b/>
                      <w:color w:val="000000"/>
                    </w:rPr>
                    <w:t>功能描述</w:t>
                  </w:r>
                </w:p>
              </w:tc>
            </w:tr>
            <w:tr>
              <w:tc>
                <w:tcPr>
                  <w:tcW w:type="dxa" w:w="1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软件系统功能</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文书管理功能</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▲支持异常文书、待签文书、已签文书管理，支持按文书编号、所属科室、患者名称、签名模式查看各种状态的文书。</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患者管理功能</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▲支持查看患者列表，通过按科室名称、患者名称查询到患者信息。</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科室管理功能</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支持查看科室列表，支持增加、批量删除科室，按科室名称或编号查询。</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安全包管理</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支持增加、批量删除安装包，按版本号查询。</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查询日志功能</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提供查询操作日志功能，支持查看操作用户、具体操作、操作结果及操作时间。</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APP</w:t>
                  </w:r>
                  <w:r>
                    <w:rPr>
                      <w:sz w:val="21"/>
                      <w:color w:val="000000"/>
                    </w:rPr>
                    <w:t>应用</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支持在移动指纹手写签名屏上安装移动签署</w:t>
                  </w:r>
                  <w:r>
                    <w:rPr>
                      <w:sz w:val="21"/>
                    </w:rPr>
                    <w:t>APP</w:t>
                  </w:r>
                  <w:r>
                    <w:rPr>
                      <w:sz w:val="21"/>
                    </w:rPr>
                    <w:t>，获取移动签署系统中的待签文档，实现患者及家属对知情文书的签署。</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数据采集</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支持签名人身份信息、指纹、手写笔迹数据、待签署业务数据、签署时间信息等类型数据的可靠采集。</w:t>
                  </w:r>
                </w:p>
              </w:tc>
            </w:tr>
          </w:tbl>
          <w:p>
            <w:pPr>
              <w:pStyle w:val="null3"/>
              <w:ind w:firstLine="422"/>
              <w:jc w:val="left"/>
            </w:pPr>
            <w:r>
              <w:rPr>
                <w:sz w:val="21"/>
                <w:b/>
              </w:rPr>
              <w:t>6.1.7</w:t>
            </w:r>
            <w:r>
              <w:rPr>
                <w:sz w:val="21"/>
                <w:b/>
              </w:rPr>
              <w:t>无线手写签名设备（</w:t>
            </w:r>
            <w:r>
              <w:rPr>
                <w:sz w:val="21"/>
                <w:b/>
              </w:rPr>
              <w:t>50</w:t>
            </w:r>
            <w:r>
              <w:rPr>
                <w:sz w:val="21"/>
                <w:b/>
              </w:rPr>
              <w:t>台）</w:t>
            </w:r>
          </w:p>
          <w:tbl>
            <w:tblPr>
              <w:tblInd w:type="dxa" w:w="120"/>
              <w:tblBorders>
                <w:top w:val="none" w:color="000000" w:sz="4"/>
                <w:left w:val="none" w:color="000000" w:sz="4"/>
                <w:bottom w:val="none" w:color="000000" w:sz="4"/>
                <w:right w:val="none" w:color="000000" w:sz="4"/>
                <w:insideH w:val="none"/>
                <w:insideV w:val="none"/>
              </w:tblBorders>
            </w:tblPr>
            <w:tblGrid>
              <w:gridCol w:w="1170"/>
              <w:gridCol w:w="1470"/>
              <w:gridCol w:w="2940"/>
            </w:tblGrid>
            <w:tr>
              <w:tc>
                <w:tcPr>
                  <w:tcW w:type="dxa" w:w="1170"/>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b/>
                      <w:color w:val="000000"/>
                    </w:rPr>
                    <w:t>模块</w:t>
                  </w:r>
                </w:p>
              </w:tc>
              <w:tc>
                <w:tcPr>
                  <w:tcW w:type="dxa" w:w="1470"/>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b/>
                      <w:color w:val="000000"/>
                    </w:rPr>
                    <w:t>功能</w:t>
                  </w:r>
                </w:p>
              </w:tc>
              <w:tc>
                <w:tcPr>
                  <w:tcW w:type="dxa" w:w="2940"/>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b/>
                      <w:color w:val="000000"/>
                    </w:rPr>
                    <w:t>功能描述</w:t>
                  </w:r>
                </w:p>
              </w:tc>
            </w:tr>
            <w:tr>
              <w:tc>
                <w:tcPr>
                  <w:tcW w:type="dxa" w:w="1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软件系统功能</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文书缓存</w:t>
                  </w:r>
                </w:p>
              </w:tc>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▲支持在有网络的情况缓存文书，在无网络环境下签署，并可先缓存（投标时提供功能截图作为证明材料）。</w:t>
                  </w:r>
                </w:p>
              </w:tc>
            </w:tr>
            <w:tr>
              <w:tc>
                <w:tcPr>
                  <w:tcW w:type="dxa" w:w="1170"/>
                  <w:vMerge/>
                  <w:tcBorders>
                    <w:top w:val="none" w:color="000000" w:sz="4"/>
                    <w:left w:val="single" w:color="000000" w:sz="4"/>
                    <w:bottom w:val="single" w:color="000000" w:sz="4"/>
                    <w:right w:val="single" w:color="000000" w:sz="4"/>
                  </w:tcBorders>
                </w:tcP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笔迹采集</w:t>
                  </w:r>
                </w:p>
              </w:tc>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采集签名人在</w:t>
                  </w:r>
                  <w:r>
                    <w:rPr>
                      <w:sz w:val="21"/>
                    </w:rPr>
                    <w:t>LCD</w:t>
                  </w:r>
                  <w:r>
                    <w:rPr>
                      <w:sz w:val="21"/>
                    </w:rPr>
                    <w:t>显示屏上的手写签名笔迹，实现签名人手写签名笔迹数据的可靠采集。</w:t>
                  </w:r>
                </w:p>
              </w:tc>
            </w:tr>
            <w:tr>
              <w:tc>
                <w:tcPr>
                  <w:tcW w:type="dxa" w:w="1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硬件配置要求</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处理器</w:t>
                  </w:r>
                </w:p>
              </w:tc>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CPU</w:t>
                  </w:r>
                  <w:r>
                    <w:rPr>
                      <w:sz w:val="21"/>
                    </w:rPr>
                    <w:t>核心数：不低于八核，主频不低于</w:t>
                  </w:r>
                  <w:r>
                    <w:rPr>
                      <w:sz w:val="21"/>
                    </w:rPr>
                    <w:t>2.8GHz</w:t>
                  </w:r>
                  <w:r>
                    <w:rPr>
                      <w:sz w:val="21"/>
                    </w:rPr>
                    <w:t>。</w:t>
                  </w:r>
                </w:p>
              </w:tc>
            </w:tr>
            <w:tr>
              <w:tc>
                <w:tcPr>
                  <w:tcW w:type="dxa" w:w="1170"/>
                  <w:vMerge/>
                  <w:tcBorders>
                    <w:top w:val="none" w:color="000000" w:sz="4"/>
                    <w:left w:val="single" w:color="000000" w:sz="4"/>
                    <w:bottom w:val="single" w:color="000000" w:sz="4"/>
                    <w:right w:val="single" w:color="000000" w:sz="4"/>
                  </w:tcBorders>
                </w:tcP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屏幕尺寸</w:t>
                  </w:r>
                </w:p>
              </w:tc>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不低于</w:t>
                  </w:r>
                  <w:r>
                    <w:rPr>
                      <w:sz w:val="21"/>
                    </w:rPr>
                    <w:t>10.9</w:t>
                  </w:r>
                  <w:r>
                    <w:rPr>
                      <w:sz w:val="21"/>
                    </w:rPr>
                    <w:t>英寸；分辨率：不低于</w:t>
                  </w:r>
                  <w:r>
                    <w:rPr>
                      <w:sz w:val="21"/>
                    </w:rPr>
                    <w:t>2560</w:t>
                  </w:r>
                  <w:r>
                    <w:rPr>
                      <w:sz w:val="21"/>
                    </w:rPr>
                    <w:t>×</w:t>
                  </w:r>
                  <w:r>
                    <w:rPr>
                      <w:sz w:val="21"/>
                    </w:rPr>
                    <w:t>1600</w:t>
                  </w:r>
                  <w:r>
                    <w:rPr>
                      <w:sz w:val="21"/>
                    </w:rPr>
                    <w:t>。</w:t>
                  </w:r>
                </w:p>
              </w:tc>
            </w:tr>
            <w:tr>
              <w:tc>
                <w:tcPr>
                  <w:tcW w:type="dxa" w:w="1170"/>
                  <w:vMerge/>
                  <w:tcBorders>
                    <w:top w:val="none" w:color="000000" w:sz="4"/>
                    <w:left w:val="single" w:color="000000" w:sz="4"/>
                    <w:bottom w:val="single" w:color="000000" w:sz="4"/>
                    <w:right w:val="single" w:color="000000" w:sz="4"/>
                  </w:tcBorders>
                </w:tcP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运行内存</w:t>
                  </w:r>
                </w:p>
              </w:tc>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不低于</w:t>
                  </w:r>
                  <w:r>
                    <w:rPr>
                      <w:sz w:val="21"/>
                    </w:rPr>
                    <w:t>6GB</w:t>
                  </w:r>
                  <w:r>
                    <w:rPr>
                      <w:sz w:val="21"/>
                    </w:rPr>
                    <w:t>；内存容量：不低于</w:t>
                  </w:r>
                  <w:r>
                    <w:rPr>
                      <w:sz w:val="21"/>
                    </w:rPr>
                    <w:t>128GB</w:t>
                  </w:r>
                  <w:r>
                    <w:rPr>
                      <w:sz w:val="21"/>
                    </w:rPr>
                    <w:t>。</w:t>
                  </w:r>
                </w:p>
              </w:tc>
            </w:tr>
            <w:tr>
              <w:tc>
                <w:tcPr>
                  <w:tcW w:type="dxa" w:w="1170"/>
                  <w:vMerge/>
                  <w:tcBorders>
                    <w:top w:val="none" w:color="000000" w:sz="4"/>
                    <w:left w:val="single" w:color="000000" w:sz="4"/>
                    <w:bottom w:val="single" w:color="000000" w:sz="4"/>
                    <w:right w:val="single" w:color="000000" w:sz="4"/>
                  </w:tcBorders>
                </w:tcP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摄像头</w:t>
                  </w:r>
                </w:p>
              </w:tc>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前摄像头不低于</w:t>
                  </w:r>
                  <w:r>
                    <w:rPr>
                      <w:sz w:val="21"/>
                    </w:rPr>
                    <w:t>800</w:t>
                  </w:r>
                  <w:r>
                    <w:rPr>
                      <w:sz w:val="21"/>
                    </w:rPr>
                    <w:t>万像素，后摄像头不低于</w:t>
                  </w:r>
                  <w:r>
                    <w:rPr>
                      <w:sz w:val="21"/>
                    </w:rPr>
                    <w:t>1200</w:t>
                  </w:r>
                  <w:r>
                    <w:rPr>
                      <w:sz w:val="21"/>
                    </w:rPr>
                    <w:t>万像素。</w:t>
                  </w:r>
                </w:p>
              </w:tc>
            </w:tr>
            <w:tr>
              <w:tc>
                <w:tcPr>
                  <w:tcW w:type="dxa" w:w="1170"/>
                  <w:vMerge/>
                  <w:tcBorders>
                    <w:top w:val="none" w:color="000000" w:sz="4"/>
                    <w:left w:val="single" w:color="000000" w:sz="4"/>
                    <w:bottom w:val="single" w:color="000000" w:sz="4"/>
                    <w:right w:val="single" w:color="000000" w:sz="4"/>
                  </w:tcBorders>
                </w:tcP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触控笔</w:t>
                  </w:r>
                </w:p>
              </w:tc>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含原装触控笔一支，</w:t>
                  </w:r>
                  <w:r>
                    <w:rPr>
                      <w:sz w:val="21"/>
                    </w:rPr>
                    <w:t>4096</w:t>
                  </w:r>
                  <w:r>
                    <w:rPr>
                      <w:sz w:val="21"/>
                    </w:rPr>
                    <w:t>级主动式压力感应。</w:t>
                  </w:r>
                </w:p>
              </w:tc>
            </w:tr>
            <w:tr>
              <w:tc>
                <w:tcPr>
                  <w:tcW w:type="dxa" w:w="1170"/>
                  <w:vMerge/>
                  <w:tcBorders>
                    <w:top w:val="none" w:color="000000" w:sz="4"/>
                    <w:left w:val="single" w:color="000000" w:sz="4"/>
                    <w:bottom w:val="single" w:color="000000" w:sz="4"/>
                    <w:right w:val="single" w:color="000000" w:sz="4"/>
                  </w:tcBorders>
                </w:tcP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联网支持</w:t>
                  </w:r>
                </w:p>
              </w:tc>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网络连接支持双频</w:t>
                  </w:r>
                  <w:r>
                    <w:rPr>
                      <w:sz w:val="21"/>
                    </w:rPr>
                    <w:t>WiFi</w:t>
                  </w:r>
                  <w:r>
                    <w:rPr>
                      <w:sz w:val="21"/>
                    </w:rPr>
                    <w:t>，</w:t>
                  </w:r>
                  <w:r>
                    <w:rPr>
                      <w:sz w:val="21"/>
                    </w:rPr>
                    <w:t>2.4G</w:t>
                  </w:r>
                  <w:r>
                    <w:rPr>
                      <w:sz w:val="21"/>
                    </w:rPr>
                    <w:t>。</w:t>
                  </w:r>
                </w:p>
              </w:tc>
            </w:tr>
            <w:tr>
              <w:tc>
                <w:tcPr>
                  <w:tcW w:type="dxa" w:w="1170"/>
                  <w:vMerge/>
                  <w:tcBorders>
                    <w:top w:val="none" w:color="000000" w:sz="4"/>
                    <w:left w:val="single" w:color="000000" w:sz="4"/>
                    <w:bottom w:val="single" w:color="000000" w:sz="4"/>
                    <w:right w:val="single" w:color="000000" w:sz="4"/>
                  </w:tcBorders>
                </w:tcP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电池</w:t>
                  </w:r>
                </w:p>
              </w:tc>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聚合物高密度安全电池，电池容量标配</w:t>
                  </w:r>
                  <w:r>
                    <w:rPr>
                      <w:sz w:val="21"/>
                    </w:rPr>
                    <w:t>8000mAH</w:t>
                  </w:r>
                  <w:r>
                    <w:rPr>
                      <w:sz w:val="21"/>
                    </w:rPr>
                    <w:t>，电池电压</w:t>
                  </w:r>
                  <w:r>
                    <w:rPr>
                      <w:sz w:val="21"/>
                    </w:rPr>
                    <w:t>7.4V</w:t>
                  </w:r>
                  <w:r>
                    <w:rPr>
                      <w:sz w:val="21"/>
                    </w:rPr>
                    <w:t>，待机时长</w:t>
                  </w:r>
                  <w:r>
                    <w:rPr>
                      <w:sz w:val="21"/>
                    </w:rPr>
                    <w:t>100h</w:t>
                  </w:r>
                  <w:r>
                    <w:rPr>
                      <w:sz w:val="21"/>
                    </w:rPr>
                    <w:t>，工作时长</w:t>
                  </w:r>
                  <w:r>
                    <w:rPr>
                      <w:sz w:val="21"/>
                    </w:rPr>
                    <w:t>8h</w:t>
                  </w:r>
                  <w:r>
                    <w:rPr>
                      <w:sz w:val="21"/>
                    </w:rPr>
                    <w:t>。</w:t>
                  </w:r>
                </w:p>
              </w:tc>
            </w:tr>
          </w:tbl>
          <w:p>
            <w:pPr>
              <w:pStyle w:val="null3"/>
              <w:ind w:firstLine="422"/>
              <w:jc w:val="left"/>
            </w:pPr>
            <w:r>
              <w:rPr>
                <w:sz w:val="21"/>
                <w:b/>
              </w:rPr>
              <w:t>6.1.8</w:t>
            </w:r>
            <w:r>
              <w:rPr>
                <w:sz w:val="21"/>
                <w:b/>
              </w:rPr>
              <w:t>证书服务</w:t>
            </w:r>
            <w:r>
              <w:rPr>
                <w:sz w:val="21"/>
                <w:b/>
              </w:rPr>
              <w:t>（</w:t>
            </w:r>
            <w:r>
              <w:rPr>
                <w:sz w:val="21"/>
                <w:b/>
              </w:rPr>
              <w:t>1</w:t>
            </w:r>
            <w:r>
              <w:rPr>
                <w:sz w:val="21"/>
                <w:b/>
              </w:rPr>
              <w:t>项）</w:t>
            </w:r>
          </w:p>
          <w:tbl>
            <w:tblPr>
              <w:tblInd w:type="dxa" w:w="120"/>
              <w:tblBorders>
                <w:top w:val="none" w:color="000000" w:sz="4"/>
                <w:left w:val="none" w:color="000000" w:sz="4"/>
                <w:bottom w:val="none" w:color="000000" w:sz="4"/>
                <w:right w:val="none" w:color="000000" w:sz="4"/>
                <w:insideH w:val="none"/>
                <w:insideV w:val="none"/>
              </w:tblBorders>
            </w:tblPr>
            <w:tblGrid>
              <w:gridCol w:w="1174"/>
              <w:gridCol w:w="1475"/>
              <w:gridCol w:w="2949"/>
            </w:tblGrid>
            <w:tr>
              <w:tc>
                <w:tcPr>
                  <w:tcW w:type="dxa" w:w="1174"/>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b/>
                      <w:color w:val="000000"/>
                    </w:rPr>
                    <w:t>模块</w:t>
                  </w:r>
                </w:p>
              </w:tc>
              <w:tc>
                <w:tcPr>
                  <w:tcW w:type="dxa" w:w="1475"/>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b/>
                      <w:color w:val="000000"/>
                    </w:rPr>
                    <w:t>功能</w:t>
                  </w:r>
                </w:p>
              </w:tc>
              <w:tc>
                <w:tcPr>
                  <w:tcW w:type="dxa" w:w="294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sz w:val="21"/>
                      <w:b/>
                      <w:color w:val="000000"/>
                    </w:rPr>
                    <w:t>功能描述</w:t>
                  </w:r>
                </w:p>
              </w:tc>
            </w:tr>
            <w:tr>
              <w:tc>
                <w:tcPr>
                  <w:tcW w:type="dxa" w:w="1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服务功能</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身份标识</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由</w:t>
                  </w:r>
                  <w:r>
                    <w:rPr>
                      <w:sz w:val="21"/>
                    </w:rPr>
                    <w:t>CA</w:t>
                  </w:r>
                  <w:r>
                    <w:rPr>
                      <w:sz w:val="21"/>
                    </w:rPr>
                    <w:t>机构为患者签发</w:t>
                  </w:r>
                  <w:r>
                    <w:rPr>
                      <w:sz w:val="21"/>
                    </w:rPr>
                    <w:t>短效证书或</w:t>
                  </w:r>
                  <w:r>
                    <w:rPr>
                      <w:sz w:val="21"/>
                    </w:rPr>
                    <w:t>事件型数字证书，标识签名人在特定的签名事件中的数字身份。</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证书内容</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支持短效证书或事件型证书。</w:t>
                  </w:r>
                </w:p>
                <w:p>
                  <w:pPr>
                    <w:pStyle w:val="null3"/>
                    <w:jc w:val="both"/>
                  </w:pPr>
                  <w:r>
                    <w:rPr>
                      <w:sz w:val="21"/>
                    </w:rPr>
                    <w:t>1</w:t>
                  </w:r>
                  <w:r>
                    <w:rPr>
                      <w:sz w:val="21"/>
                    </w:rPr>
                    <w:t>）</w:t>
                  </w:r>
                  <w:r>
                    <w:rPr>
                      <w:sz w:val="21"/>
                    </w:rPr>
                    <w:t>短效证书包含签发者信息、签名人信息、公钥，有效期至签发当日</w:t>
                  </w:r>
                  <w:r>
                    <w:rPr>
                      <w:sz w:val="21"/>
                    </w:rPr>
                    <w:t>24:00</w:t>
                  </w:r>
                  <w:r>
                    <w:rPr>
                      <w:sz w:val="21"/>
                    </w:rPr>
                    <w:t>。在有效期内可多次使用，不与某文件绑定。</w:t>
                  </w:r>
                </w:p>
                <w:p>
                  <w:pPr>
                    <w:pStyle w:val="null3"/>
                    <w:jc w:val="both"/>
                  </w:pPr>
                  <w:r>
                    <w:rPr>
                      <w:sz w:val="21"/>
                    </w:rPr>
                    <w:t>2</w:t>
                  </w:r>
                  <w:r>
                    <w:rPr>
                      <w:sz w:val="21"/>
                    </w:rPr>
                    <w:t>）</w:t>
                  </w:r>
                  <w:r>
                    <w:rPr>
                      <w:sz w:val="21"/>
                    </w:rPr>
                    <w:t>事件型数字证书除包含签发者信息、签名人信息、公钥、有效期以及一些扩展信息外，还包含本次签名事件中被签名文件的数字摘要、必要的签名人行为特征数据（例如手写签名笔迹数据），从而实现该证书与该签名人、签名文件、签名行为的可靠关联与绑定。</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证书格式</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证书格式标准遵循</w:t>
                  </w:r>
                  <w:r>
                    <w:rPr>
                      <w:sz w:val="21"/>
                    </w:rPr>
                    <w:t>x</w:t>
                  </w:r>
                  <w:r>
                    <w:rPr>
                      <w:sz w:val="21"/>
                    </w:rPr>
                    <w:t>．</w:t>
                  </w:r>
                  <w:r>
                    <w:rPr>
                      <w:sz w:val="21"/>
                    </w:rPr>
                    <w:t>509v3</w:t>
                  </w:r>
                  <w:r>
                    <w:rPr>
                      <w:sz w:val="21"/>
                    </w:rPr>
                    <w:t>标准。</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私钥销毁</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支持短效证书或事件型证书。</w:t>
                  </w:r>
                </w:p>
                <w:p>
                  <w:pPr>
                    <w:pStyle w:val="null3"/>
                    <w:jc w:val="both"/>
                  </w:pPr>
                  <w:r>
                    <w:rPr>
                      <w:sz w:val="21"/>
                    </w:rPr>
                    <w:t>1</w:t>
                  </w:r>
                  <w:r>
                    <w:rPr>
                      <w:sz w:val="21"/>
                    </w:rPr>
                    <w:t>）</w:t>
                  </w:r>
                  <w:r>
                    <w:rPr>
                      <w:sz w:val="21"/>
                    </w:rPr>
                    <w:t>短效证书有效期满自动失效，支持有效期内提前销毁。</w:t>
                  </w:r>
                </w:p>
                <w:p>
                  <w:pPr>
                    <w:pStyle w:val="null3"/>
                    <w:jc w:val="both"/>
                  </w:pPr>
                  <w:r>
                    <w:rPr>
                      <w:sz w:val="21"/>
                    </w:rPr>
                    <w:t>2</w:t>
                  </w:r>
                  <w:r>
                    <w:rPr>
                      <w:sz w:val="21"/>
                    </w:rPr>
                    <w:t>）</w:t>
                  </w:r>
                  <w:r>
                    <w:rPr>
                      <w:sz w:val="21"/>
                    </w:rPr>
                    <w:t>事件型数字证书的私钥在完成本次签名运算后，即时自动销毁，确保私钥仅应用于此次签名事件。</w:t>
                  </w:r>
                </w:p>
              </w:tc>
            </w:tr>
            <w:tr>
              <w:tc>
                <w:tcPr>
                  <w:tcW w:type="dxa" w:w="1174"/>
                  <w:vMerge/>
                  <w:tcBorders>
                    <w:top w:val="none" w:color="000000" w:sz="4"/>
                    <w:left w:val="single" w:color="000000" w:sz="4"/>
                    <w:bottom w:val="single" w:color="000000" w:sz="4"/>
                    <w:right w:val="single" w:color="000000" w:sz="4"/>
                  </w:tcBorders>
                </w:tcP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数字签名</w:t>
                  </w:r>
                </w:p>
              </w:tc>
              <w:tc>
                <w:tcPr>
                  <w:tcW w:type="dxa" w:w="2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支持短效证书或事件型证书。</w:t>
                  </w:r>
                </w:p>
                <w:p>
                  <w:pPr>
                    <w:pStyle w:val="null3"/>
                    <w:jc w:val="both"/>
                  </w:pPr>
                  <w:r>
                    <w:rPr>
                      <w:sz w:val="21"/>
                    </w:rPr>
                    <w:t>1</w:t>
                  </w:r>
                  <w:r>
                    <w:rPr>
                      <w:sz w:val="21"/>
                    </w:rPr>
                    <w:t>）</w:t>
                  </w:r>
                  <w:r>
                    <w:rPr>
                      <w:sz w:val="21"/>
                    </w:rPr>
                    <w:t>短效证书在有效期内可签署多份文件。</w:t>
                  </w:r>
                </w:p>
                <w:p>
                  <w:pPr>
                    <w:pStyle w:val="null3"/>
                    <w:jc w:val="both"/>
                  </w:pPr>
                  <w:r>
                    <w:rPr>
                      <w:sz w:val="21"/>
                    </w:rPr>
                    <w:t>2</w:t>
                  </w:r>
                  <w:r>
                    <w:rPr>
                      <w:sz w:val="21"/>
                    </w:rPr>
                    <w:t>）</w:t>
                  </w:r>
                  <w:r>
                    <w:rPr>
                      <w:sz w:val="21"/>
                    </w:rPr>
                    <w:t>事件型数字证书只针对特定签名事件中的被签名文件进行数字签名。</w:t>
                  </w:r>
                </w:p>
              </w:tc>
            </w:tr>
          </w:tbl>
          <w:p/>
        </w:tc>
      </w:tr>
      <w:tr>
        <w:tc>
          <w:tcPr>
            <w:tcW w:type="dxa" w:w="2076"/>
          </w:tcPr>
          <w:p/>
        </w:tc>
        <w:tc>
          <w:tcPr>
            <w:tcW w:type="dxa" w:w="415"/>
          </w:tcPr>
          <w:p>
            <w:pPr>
              <w:pStyle w:val="null3"/>
            </w:pPr>
            <w:r>
              <w:rPr/>
              <w:t>7</w:t>
            </w:r>
          </w:p>
        </w:tc>
        <w:tc>
          <w:tcPr>
            <w:tcW w:type="dxa" w:w="5814"/>
          </w:tcPr>
          <w:p>
            <w:pPr>
              <w:pStyle w:val="null3"/>
              <w:ind w:firstLine="442"/>
              <w:jc w:val="left"/>
            </w:pPr>
            <w:r>
              <w:rPr>
                <w:sz w:val="21"/>
                <w:b/>
              </w:rPr>
              <w:t>7.项目要求</w:t>
            </w:r>
          </w:p>
          <w:p>
            <w:pPr>
              <w:pStyle w:val="null3"/>
              <w:ind w:firstLine="422"/>
              <w:jc w:val="left"/>
            </w:pPr>
            <w:r>
              <w:rPr>
                <w:sz w:val="21"/>
                <w:b/>
              </w:rPr>
              <w:t>7.1项目技术条款</w:t>
            </w:r>
          </w:p>
          <w:p>
            <w:pPr>
              <w:pStyle w:val="null3"/>
              <w:ind w:firstLine="420"/>
              <w:jc w:val="left"/>
            </w:pPr>
            <w:r>
              <w:rPr>
                <w:sz w:val="21"/>
              </w:rPr>
              <w:t>1）</w:t>
            </w:r>
            <w:r>
              <w:rPr>
                <w:sz w:val="21"/>
              </w:rPr>
              <w:t>客户端系统采用</w:t>
            </w:r>
            <w:r>
              <w:rPr>
                <w:sz w:val="21"/>
              </w:rPr>
              <w:t>CS方式则应支持以下操作系统：win10企业版32位、win10企业版64位；采用.net框架的需支持.net framework 4.5及以上。客户端采用BS方式则应支持：WIN10以上操作系统调用操作系统默认edge浏览器。</w:t>
            </w:r>
          </w:p>
          <w:p>
            <w:pPr>
              <w:pStyle w:val="null3"/>
              <w:ind w:firstLine="420"/>
              <w:jc w:val="left"/>
            </w:pPr>
            <w:r>
              <w:rPr>
                <w:sz w:val="21"/>
              </w:rPr>
              <w:t>2）</w:t>
            </w:r>
            <w:r>
              <w:rPr>
                <w:sz w:val="21"/>
              </w:rPr>
              <w:t>整个系统从客户端、中间层、数据库层支持虚拟化技术，可在虚拟化环境下正常运行，支持</w:t>
            </w:r>
            <w:r>
              <w:rPr>
                <w:sz w:val="21"/>
              </w:rPr>
              <w:t>vm等常见的虚拟机。</w:t>
            </w:r>
          </w:p>
          <w:p>
            <w:pPr>
              <w:pStyle w:val="null3"/>
              <w:ind w:firstLine="420"/>
              <w:jc w:val="left"/>
            </w:pPr>
            <w:r>
              <w:rPr>
                <w:sz w:val="21"/>
              </w:rPr>
              <w:t>3）</w:t>
            </w:r>
            <w:r>
              <w:rPr>
                <w:sz w:val="21"/>
              </w:rPr>
              <w:t>网络安全等保要求：中标人应根据公安机关的时间要求无条件对本采购包中所涉及的设备及系统进行安全漏洞检测和修复，并配合采购人完成日常等级保护检测和漏洞修复工作，以满足通过等级保护验收的要求。根据采购人提供的方案进行整改。系统整体安全级别需完全符合国家《网络安全等级保护</w:t>
            </w:r>
            <w:r>
              <w:rPr>
                <w:sz w:val="21"/>
              </w:rPr>
              <w:t>2.0》三级标准的相关要求。如网络扫描发现高危、中危漏洞需通知相关责任人立即修复，并需出一份系统安全整改报告盖中标人的公章</w:t>
            </w:r>
            <w:r>
              <w:rPr>
                <w:sz w:val="21"/>
              </w:rPr>
              <w:t>。</w:t>
            </w:r>
          </w:p>
          <w:p>
            <w:pPr>
              <w:pStyle w:val="null3"/>
              <w:ind w:firstLine="480"/>
              <w:jc w:val="both"/>
            </w:pPr>
            <w:r>
              <w:rPr>
                <w:sz w:val="21"/>
              </w:rPr>
              <w:t>4）</w:t>
            </w:r>
            <w:r>
              <w:rPr>
                <w:sz w:val="21"/>
              </w:rPr>
              <w:t>商用密码要求</w:t>
            </w:r>
            <w:r>
              <w:rPr>
                <w:sz w:val="21"/>
              </w:rPr>
              <w:t>：</w:t>
            </w:r>
            <w:r>
              <w:rPr>
                <w:sz w:val="21"/>
              </w:rPr>
              <w:t>按照国家相关商用密码应用和管理要求，配合相关部门的要求完成商用密码评估及整改工作。</w:t>
            </w:r>
          </w:p>
          <w:p>
            <w:pPr>
              <w:pStyle w:val="null3"/>
              <w:ind w:firstLine="420"/>
              <w:jc w:val="left"/>
            </w:pPr>
            <w:r>
              <w:rPr>
                <w:sz w:val="21"/>
              </w:rPr>
              <w:t>5）</w:t>
            </w:r>
            <w:r>
              <w:rPr>
                <w:sz w:val="21"/>
              </w:rPr>
              <w:t>应用</w:t>
            </w:r>
            <w:r>
              <w:rPr>
                <w:sz w:val="21"/>
              </w:rPr>
              <w:t>服务器</w:t>
            </w:r>
            <w:r>
              <w:rPr>
                <w:sz w:val="21"/>
              </w:rPr>
              <w:t>与数据库</w:t>
            </w:r>
            <w:r>
              <w:rPr>
                <w:sz w:val="21"/>
              </w:rPr>
              <w:t>服务器</w:t>
            </w:r>
            <w:r>
              <w:rPr>
                <w:sz w:val="21"/>
              </w:rPr>
              <w:t>（</w:t>
            </w:r>
            <w:r>
              <w:rPr>
                <w:sz w:val="21"/>
              </w:rPr>
              <w:t>含数据文件</w:t>
            </w:r>
            <w:r>
              <w:rPr>
                <w:sz w:val="21"/>
              </w:rPr>
              <w:t>）</w:t>
            </w:r>
            <w:r>
              <w:rPr>
                <w:sz w:val="21"/>
              </w:rPr>
              <w:t>分离，分别部署在不同的</w:t>
            </w:r>
            <w:r>
              <w:rPr>
                <w:sz w:val="21"/>
              </w:rPr>
              <w:t>服务器</w:t>
            </w:r>
            <w:r>
              <w:rPr>
                <w:sz w:val="21"/>
              </w:rPr>
              <w:t>上。</w:t>
            </w:r>
          </w:p>
          <w:p>
            <w:pPr>
              <w:pStyle w:val="null3"/>
              <w:ind w:firstLine="420"/>
              <w:jc w:val="left"/>
            </w:pPr>
            <w:r>
              <w:rPr>
                <w:sz w:val="21"/>
              </w:rPr>
              <w:t>6）</w:t>
            </w:r>
            <w:r>
              <w:rPr>
                <w:sz w:val="21"/>
              </w:rPr>
              <w:t>项目验收</w:t>
            </w:r>
            <w:r>
              <w:rPr>
                <w:sz w:val="21"/>
              </w:rPr>
              <w:t>前中标人完成所有与该系统有关的信息系统、政策性任务、医疗设备等接口开发调试工作，并保证接口的正常运行投入使用。</w:t>
            </w:r>
          </w:p>
          <w:p>
            <w:pPr>
              <w:pStyle w:val="null3"/>
              <w:ind w:firstLine="420"/>
              <w:jc w:val="left"/>
            </w:pPr>
            <w:r>
              <w:rPr>
                <w:sz w:val="21"/>
              </w:rPr>
              <w:t>7）</w:t>
            </w:r>
            <w:r>
              <w:rPr>
                <w:sz w:val="21"/>
              </w:rPr>
              <w:t>服务器</w:t>
            </w:r>
            <w:r>
              <w:rPr>
                <w:sz w:val="21"/>
              </w:rPr>
              <w:t>操作系统相关：优先采用</w:t>
            </w:r>
            <w:r>
              <w:rPr>
                <w:sz w:val="21"/>
              </w:rPr>
              <w:t>Linux操作系统及配套成熟组件部署业务系统再考虑采用Windows Server 2016操作系统及配套成熟组件部署业务系统，并自带序列号激活码。</w:t>
            </w:r>
          </w:p>
          <w:p>
            <w:pPr>
              <w:pStyle w:val="null3"/>
              <w:ind w:firstLine="420"/>
              <w:jc w:val="left"/>
            </w:pPr>
            <w:r>
              <w:rPr>
                <w:sz w:val="21"/>
              </w:rPr>
              <w:t>8）</w:t>
            </w:r>
            <w:r>
              <w:rPr>
                <w:sz w:val="21"/>
              </w:rPr>
              <w:t>如系统牵涉财务收费对账问题，则需有相关的对账报表以辅助业务科室完成对账工作。</w:t>
            </w:r>
          </w:p>
          <w:p>
            <w:pPr>
              <w:pStyle w:val="null3"/>
              <w:ind w:firstLine="420"/>
              <w:jc w:val="left"/>
            </w:pPr>
            <w:r>
              <w:rPr>
                <w:sz w:val="21"/>
              </w:rPr>
              <w:t>9）</w:t>
            </w:r>
            <w:r>
              <w:rPr>
                <w:sz w:val="21"/>
              </w:rPr>
              <w:t>本采购包</w:t>
            </w:r>
            <w:r>
              <w:rPr>
                <w:sz w:val="21"/>
              </w:rPr>
              <w:t>实现的成果，配合采购人进行成果转化，申请软件著作权等。</w:t>
            </w:r>
          </w:p>
          <w:p>
            <w:pPr>
              <w:pStyle w:val="null3"/>
              <w:ind w:firstLine="422"/>
              <w:jc w:val="left"/>
            </w:pPr>
            <w:r>
              <w:rPr>
                <w:sz w:val="21"/>
                <w:b/>
              </w:rPr>
              <w:t>7.2项目实施要求</w:t>
            </w:r>
          </w:p>
          <w:p>
            <w:pPr>
              <w:pStyle w:val="null3"/>
              <w:ind w:left="570"/>
              <w:jc w:val="both"/>
            </w:pPr>
            <w:r>
              <w:rPr>
                <w:sz w:val="21"/>
              </w:rPr>
              <w:t>1）</w:t>
            </w:r>
            <w:r>
              <w:rPr>
                <w:sz w:val="21"/>
              </w:rPr>
              <w:t>本采购包在</w:t>
            </w:r>
            <w:r>
              <w:rPr>
                <w:sz w:val="21"/>
                <w:shd w:fill="FFFFFF" w:val="clear"/>
              </w:rPr>
              <w:t>合同履行期限内</w:t>
            </w:r>
            <w:r>
              <w:rPr>
                <w:sz w:val="21"/>
              </w:rPr>
              <w:t>中标人需投入团队人员至少</w:t>
            </w:r>
            <w:r>
              <w:rPr>
                <w:sz w:val="21"/>
              </w:rPr>
              <w:t>2</w:t>
            </w:r>
            <w:r>
              <w:rPr>
                <w:sz w:val="21"/>
              </w:rPr>
              <w:t>名（其中包括驻场人员至少</w:t>
            </w:r>
            <w:r>
              <w:rPr>
                <w:sz w:val="21"/>
              </w:rPr>
              <w:t>2</w:t>
            </w:r>
            <w:r>
              <w:rPr>
                <w:sz w:val="21"/>
              </w:rPr>
              <w:t>名）</w:t>
            </w:r>
            <w:r>
              <w:rPr>
                <w:sz w:val="21"/>
              </w:rPr>
              <w:t>。</w:t>
            </w:r>
          </w:p>
          <w:p>
            <w:pPr>
              <w:pStyle w:val="null3"/>
              <w:ind w:left="570"/>
              <w:jc w:val="both"/>
            </w:pPr>
            <w:r>
              <w:rPr>
                <w:sz w:val="21"/>
              </w:rPr>
              <w:t>2）</w:t>
            </w:r>
            <w:r>
              <w:rPr>
                <w:sz w:val="21"/>
              </w:rPr>
              <w:t>驻场人员驻场期间</w:t>
            </w:r>
            <w:r>
              <w:rPr>
                <w:sz w:val="21"/>
              </w:rPr>
              <w:t>在</w:t>
            </w:r>
            <w:r>
              <w:rPr>
                <w:sz w:val="21"/>
              </w:rPr>
              <w:t>采购人</w:t>
            </w:r>
            <w:r>
              <w:rPr>
                <w:sz w:val="21"/>
              </w:rPr>
              <w:t>办公室办公，并每天向主管工程师手写签到，正常上班期间按医院作息时间执行。</w:t>
            </w:r>
          </w:p>
          <w:p>
            <w:pPr>
              <w:pStyle w:val="null3"/>
              <w:ind w:left="570"/>
              <w:jc w:val="both"/>
            </w:pPr>
            <w:r>
              <w:rPr>
                <w:sz w:val="21"/>
              </w:rPr>
              <w:t>3）</w:t>
            </w:r>
            <w:r>
              <w:rPr>
                <w:sz w:val="21"/>
              </w:rPr>
              <w:t>中标人应在签订合同后</w:t>
            </w:r>
            <w:r>
              <w:rPr>
                <w:sz w:val="21"/>
              </w:rPr>
              <w:t>15天内到采购人指定地点</w:t>
            </w:r>
            <w:r>
              <w:rPr>
                <w:sz w:val="21"/>
              </w:rPr>
              <w:t>完成如下事项：成立项目组织，有项目实施方案、项目进度甘特图，</w:t>
            </w:r>
            <w:r>
              <w:rPr>
                <w:sz w:val="21"/>
              </w:rPr>
              <w:t>WBS工作详细分解包、确定与</w:t>
            </w:r>
            <w:r>
              <w:rPr>
                <w:sz w:val="21"/>
              </w:rPr>
              <w:t>其他系统</w:t>
            </w:r>
            <w:r>
              <w:rPr>
                <w:sz w:val="21"/>
              </w:rPr>
              <w:t>的接口。在项目实施过程中与</w:t>
            </w:r>
            <w:r>
              <w:rPr>
                <w:sz w:val="21"/>
              </w:rPr>
              <w:t>其他系统</w:t>
            </w:r>
            <w:r>
              <w:rPr>
                <w:sz w:val="21"/>
              </w:rPr>
              <w:t>的接口先行，并能按计划推进项目，按时按质完成工作。</w:t>
            </w:r>
          </w:p>
          <w:p>
            <w:pPr>
              <w:pStyle w:val="null3"/>
              <w:ind w:left="570"/>
              <w:jc w:val="both"/>
            </w:pPr>
            <w:r>
              <w:rPr>
                <w:sz w:val="21"/>
              </w:rPr>
              <w:t>4）</w:t>
            </w:r>
            <w:r>
              <w:rPr>
                <w:sz w:val="21"/>
              </w:rPr>
              <w:t>中标人</w:t>
            </w:r>
            <w:r>
              <w:rPr>
                <w:sz w:val="21"/>
              </w:rPr>
              <w:t>每周提交一次项目周报。</w:t>
            </w:r>
          </w:p>
          <w:p>
            <w:pPr>
              <w:pStyle w:val="null3"/>
              <w:ind w:left="570"/>
              <w:jc w:val="both"/>
            </w:pPr>
            <w:r>
              <w:rPr>
                <w:sz w:val="21"/>
              </w:rPr>
              <w:t>5）</w:t>
            </w:r>
            <w:r>
              <w:rPr>
                <w:sz w:val="21"/>
              </w:rPr>
              <w:t>中标人</w:t>
            </w:r>
            <w:r>
              <w:rPr>
                <w:sz w:val="21"/>
              </w:rPr>
              <w:t>负责系统的安装部署、调试并能正常运行。</w:t>
            </w:r>
          </w:p>
          <w:p>
            <w:pPr>
              <w:pStyle w:val="null3"/>
              <w:ind w:left="570"/>
              <w:jc w:val="both"/>
            </w:pPr>
            <w:r>
              <w:rPr>
                <w:sz w:val="21"/>
              </w:rPr>
              <w:t>6）系统运行所需的各种环境安装包由</w:t>
            </w:r>
            <w:r>
              <w:rPr>
                <w:sz w:val="21"/>
              </w:rPr>
              <w:t>中标人</w:t>
            </w:r>
            <w:r>
              <w:rPr>
                <w:sz w:val="21"/>
              </w:rPr>
              <w:t>提供并负责安装。</w:t>
            </w:r>
          </w:p>
          <w:p>
            <w:pPr>
              <w:pStyle w:val="null3"/>
              <w:ind w:left="570"/>
              <w:jc w:val="both"/>
            </w:pPr>
            <w:r>
              <w:rPr>
                <w:sz w:val="21"/>
              </w:rPr>
              <w:t>7）</w:t>
            </w:r>
            <w:r>
              <w:rPr>
                <w:sz w:val="21"/>
              </w:rPr>
              <w:t>中标人应</w:t>
            </w:r>
            <w:r>
              <w:rPr>
                <w:sz w:val="21"/>
              </w:rPr>
              <w:t>在</w:t>
            </w:r>
            <w:r>
              <w:rPr>
                <w:sz w:val="21"/>
              </w:rPr>
              <w:t>本采购包</w:t>
            </w:r>
            <w:r>
              <w:rPr>
                <w:sz w:val="21"/>
              </w:rPr>
              <w:t>中负责提供</w:t>
            </w:r>
            <w:r>
              <w:rPr>
                <w:sz w:val="21"/>
              </w:rPr>
              <w:t>“软件”，并提供安装调试、培训和售后技术支持服务，所提供软件保证满足</w:t>
            </w:r>
            <w:r>
              <w:rPr>
                <w:sz w:val="21"/>
              </w:rPr>
              <w:t>采购人</w:t>
            </w:r>
            <w:r>
              <w:rPr>
                <w:sz w:val="21"/>
              </w:rPr>
              <w:t>功能要求，数据准确、速度快捷、运行稳定，保证系统的正常应用。</w:t>
            </w:r>
          </w:p>
          <w:p>
            <w:pPr>
              <w:pStyle w:val="null3"/>
              <w:ind w:left="570"/>
              <w:jc w:val="both"/>
            </w:pPr>
            <w:r>
              <w:rPr>
                <w:sz w:val="21"/>
              </w:rPr>
              <w:t>8）</w:t>
            </w:r>
            <w:r>
              <w:rPr>
                <w:sz w:val="21"/>
              </w:rPr>
              <w:t>中标人应</w:t>
            </w:r>
            <w:r>
              <w:rPr>
                <w:sz w:val="21"/>
              </w:rPr>
              <w:t>能熟练操作及应用全部系统，确保</w:t>
            </w:r>
            <w:r>
              <w:rPr>
                <w:sz w:val="21"/>
              </w:rPr>
              <w:t>采购人</w:t>
            </w:r>
            <w:r>
              <w:rPr>
                <w:sz w:val="21"/>
              </w:rPr>
              <w:t>相关业务人员对其使用的应用系统能熟练操作使用</w:t>
            </w:r>
            <w:r>
              <w:rPr>
                <w:sz w:val="21"/>
              </w:rPr>
              <w:t>。</w:t>
            </w:r>
          </w:p>
          <w:p>
            <w:pPr>
              <w:pStyle w:val="null3"/>
              <w:ind w:left="570"/>
              <w:jc w:val="both"/>
            </w:pPr>
            <w:r>
              <w:rPr>
                <w:sz w:val="21"/>
              </w:rPr>
              <w:t>9）</w:t>
            </w:r>
            <w:r>
              <w:rPr>
                <w:sz w:val="21"/>
              </w:rPr>
              <w:t>中标</w:t>
            </w:r>
            <w:r>
              <w:rPr>
                <w:sz w:val="21"/>
              </w:rPr>
              <w:t>人</w:t>
            </w:r>
            <w:r>
              <w:rPr>
                <w:sz w:val="21"/>
              </w:rPr>
              <w:t>接受监理单位对项目监督管理的相关条款</w:t>
            </w:r>
            <w:r>
              <w:rPr>
                <w:sz w:val="21"/>
              </w:rPr>
              <w:t>。</w:t>
            </w:r>
          </w:p>
          <w:p>
            <w:pPr>
              <w:pStyle w:val="null3"/>
              <w:ind w:left="570"/>
              <w:jc w:val="both"/>
            </w:pPr>
            <w:r>
              <w:rPr>
                <w:sz w:val="21"/>
              </w:rPr>
              <w:t>10）</w:t>
            </w:r>
            <w:r>
              <w:rPr>
                <w:sz w:val="21"/>
              </w:rPr>
              <w:t>本采购包</w:t>
            </w:r>
            <w:r>
              <w:rPr>
                <w:sz w:val="21"/>
              </w:rPr>
              <w:t>建设全生命周期工作</w:t>
            </w:r>
            <w:r>
              <w:rPr>
                <w:sz w:val="21"/>
              </w:rPr>
              <w:t>中</w:t>
            </w:r>
            <w:r>
              <w:rPr>
                <w:sz w:val="21"/>
              </w:rPr>
              <w:t>标人</w:t>
            </w:r>
            <w:r>
              <w:rPr>
                <w:sz w:val="21"/>
              </w:rPr>
              <w:t>需</w:t>
            </w:r>
            <w:r>
              <w:rPr>
                <w:sz w:val="21"/>
              </w:rPr>
              <w:t>派遣</w:t>
            </w:r>
            <w:r>
              <w:rPr>
                <w:sz w:val="21"/>
              </w:rPr>
              <w:t>中</w:t>
            </w:r>
            <w:r>
              <w:rPr>
                <w:sz w:val="21"/>
              </w:rPr>
              <w:t>标人公司自有员工负责该部分系统调研、开发、测试、安装</w:t>
            </w:r>
            <w:r>
              <w:rPr>
                <w:sz w:val="21"/>
              </w:rPr>
              <w:t>调试</w:t>
            </w:r>
            <w:r>
              <w:rPr>
                <w:sz w:val="21"/>
              </w:rPr>
              <w:t>、培训、上线保障、售后服务等</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佛山市第二人民医院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招标代理服务费的计算基数。招标代理服务费收费采用差额定率累进法计算方式。参照中华人民共和国国家发展计划委员会颁发的计价格[2002]1980号、国家发改委[2003]857号及发改价格[2011]534号文规定的“服务类”计算。实际缴纳招标代理服务费=计算得出的招标代理服务费×65%。</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本项目采用电子系统进行招投标，请在投标前详细阅读投标人操作手册，手册获取网址https://gdgpo.czt.gd.gov.cn/help/transaction/download.html。投标人在使用过程中遇到涉及系统使用的问题，可通过020-88696588进行咨询或通过广东政府采购智慧云平台运维服务说明中提供的其他服务方式获取帮助。</w:t>
            </w:r>
          </w:p>
          <w:p>
            <w:pPr>
              <w:pStyle w:val="null3"/>
              <w:jc w:val="left"/>
            </w:pPr>
            <w:r>
              <w:rPr/>
              <w:t>2、投标人参加本项目响应，需要提前办理CA和电子签章，办理方式和注意事项详见投标人操作手册与CA办理指南，指南获取地址：https://gdgpo.czt.gd.gov.cn/help/problem/。</w:t>
            </w:r>
          </w:p>
          <w:p>
            <w:pPr>
              <w:pStyle w:val="null3"/>
              <w:jc w:val="left"/>
            </w:pPr>
            <w:r>
              <w:rPr/>
              <w:t>3、在电子投标（响应）文件及相关的其他电子资料中，涉及投标人代表签字或授权代表签字的，应在纸质文件手写签名后，提供文件的扫描电子文档进行后续操作。如本竞争性采购文件与此描述有不一致的，以此描述为准。</w:t>
            </w:r>
          </w:p>
          <w:p>
            <w:pPr>
              <w:pStyle w:val="null3"/>
              <w:jc w:val="left"/>
            </w:pPr>
            <w:r>
              <w:rPr/>
              <w:t>4、本采购文件内要求的扫描件或复印件，可以是原件的扫描件，也可以是复印件的扫描件。扫描件性质上可视为复印件。</w:t>
            </w:r>
          </w:p>
          <w:p>
            <w:pPr>
              <w:pStyle w:val="null3"/>
              <w:jc w:val="left"/>
            </w:pPr>
            <w:r>
              <w:rPr/>
              <w:t>5、合同签订时间补充说明：按照佛山市政务服务数据管理局佛山市财政局关于进一步促进公平竞争优化政府采购营商环境的通知（佛政数函〔2021〕54号），采购人在中标（成交）通知书发出之日起原则上20日内与中标（成交）投标人签订政府采购合同。如因客观原因无法在20日内签订政府采购合同的，可延长不多于10日。</w:t>
            </w:r>
          </w:p>
          <w:p>
            <w:pPr>
              <w:pStyle w:val="null3"/>
              <w:jc w:val="left"/>
            </w:pPr>
            <w:r>
              <w:rPr/>
              <w:t>6、根据《佛山市政务服务数据管理局佛山市财政局关于进一步促进公平竞争优化政府采购营商环境的通知》（佛政数函[2021] 54号），参与政府采购的中小微企业可凭借中标通知书或政府采购合同，利用“省中小融”“粤信融”“中征应收账款融资服务平台”等平台向金融机构申请融资，获得无财产抵押贷款。</w:t>
            </w:r>
          </w:p>
          <w:p>
            <w:pPr>
              <w:pStyle w:val="null3"/>
              <w:jc w:val="left"/>
            </w:pPr>
            <w:r>
              <w:rPr/>
              <w:t>7、本项目的中标通知书以采购人、采购代理机构确认的纸质中标通知书作为授予合同资格的唯一合法依据。云平台版本的中标通知书不作为签订采购合同的依据。如本采购文件与此描述有不一致的，以此描述为准。</w:t>
            </w:r>
          </w:p>
          <w:p>
            <w:pPr>
              <w:pStyle w:val="null3"/>
              <w:jc w:val="left"/>
            </w:pPr>
            <w:r>
              <w:rPr/>
              <w:t>8、除特别注明的情况外，评审得分均保留小数点后2位，第3位四舍五入。</w:t>
            </w:r>
          </w:p>
          <w:p>
            <w:pPr>
              <w:pStyle w:val="null3"/>
              <w:jc w:val="left"/>
            </w:pPr>
            <w:r>
              <w:rPr/>
              <w:t>9、云平台系统生成的PDF版采购文件与WORD版采购文件如有差异，以PDF版采购文件为准。</w:t>
            </w:r>
          </w:p>
          <w:p>
            <w:pPr>
              <w:pStyle w:val="null3"/>
              <w:jc w:val="left"/>
            </w:pPr>
            <w:r>
              <w:rPr/>
              <w:t>10、本项目标的按照《中小企业划分标准规定》（工信部联企业[2011]300号）划分行业为：软件和信息技术服务业。从业人员300人以下或营收10000万元以下的为中小微型企业。其中，从业人员100人及以上，且营收1000万元及以上的为中型企业；从业人员10人及以上，且营收50万元及以上的为小型企业；从业人员10人以下或营收50万元以下的为微型企业。</w:t>
            </w:r>
          </w:p>
          <w:p>
            <w:pPr>
              <w:pStyle w:val="null3"/>
              <w:jc w:val="left"/>
            </w:pPr>
            <w:r>
              <w:rPr/>
              <w:t>11、分支机构参加投标，投标人的上级公司或总公司的资质、证书、业绩和人员对分支机构有效。</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广东省公共资源交易平台（https://ygp.gdzwfw.gov.cn/#/44/index）及采购代理机构（http://www.gdzczb.com/）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广东省公共资源交易平台（https://ygp.gdzwfw.gov.cn/#/44/index）及采购代理机构（http://www.gdzczb.com/）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0757-81993027</w:t>
      </w:r>
    </w:p>
    <w:p>
      <w:pPr>
        <w:pStyle w:val="null3"/>
        <w:ind w:firstLine="480"/>
      </w:pPr>
      <w:r>
        <w:rPr/>
        <w:t>传真：</w:t>
      </w:r>
      <w:r>
        <w:rPr/>
        <w:t>0757-81993027</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政府采购监督管理机构名称：佛山市财政局(政府采购监管科)</w:t>
      </w:r>
    </w:p>
    <w:p>
      <w:pPr>
        <w:pStyle w:val="null3"/>
      </w:pPr>
      <w:r>
        <w:rPr/>
        <w:t>地 址：佛山市禅城区季华五路8号财政大厦8楼</w:t>
      </w:r>
    </w:p>
    <w:p>
      <w:pPr>
        <w:pStyle w:val="null3"/>
      </w:pPr>
      <w:r>
        <w:rPr/>
        <w:t>电 话：0757-83282245</w:t>
      </w:r>
    </w:p>
    <w:p>
      <w:pPr>
        <w:pStyle w:val="null3"/>
      </w:pPr>
      <w:r>
        <w:rPr/>
        <w:t>邮 编：528000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采购包1(电子签名系统)：综合评分法,是指投标文件满足招标文件全部实质性要求，且按照评审因素的量化指标评审得分最高的投标人为中标候选人的评标方法。（最低报价不是中标的唯一依据。）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采购包1（电子签名系统）：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采购包1（电子签名系统）：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供应商为自然人的需提供自然人身份证明扫描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本采购包不属于专门面向中小企业采购的项目。本采购包采购标的对应的中小企业划分标准所属行业为：软件和信息技术服务业。</w:t>
            </w:r>
          </w:p>
        </w:tc>
      </w:tr>
    </w:tbl>
    <w:p>
      <w:pPr>
        <w:pStyle w:val="null3"/>
        <w:ind w:firstLine="480"/>
      </w:pPr>
      <w:r>
        <w:rPr/>
        <w:t>表二符合性审查表：</w:t>
      </w:r>
    </w:p>
    <w:p>
      <w:pPr>
        <w:pStyle w:val="null3"/>
      </w:pPr>
      <w:r>
        <w:rPr/>
        <w:t>采购包1（电子签名系统）：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投标报价是否符合要求</w:t>
            </w:r>
          </w:p>
        </w:tc>
        <w:tc>
          <w:tcPr>
            <w:tcW w:type="dxa" w:w="4238"/>
          </w:tcPr>
          <w:p>
            <w:pPr>
              <w:pStyle w:val="null3"/>
            </w:pPr>
            <w:r>
              <w:rPr/>
              <w:t>投标报价是固定价且是唯一的，未超过本采购包最高限价。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“★”号条款满足招标文件要求。（参考《技术和服务要求响应表》及《商务条件响应表》）。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采购包1(电子签名系统):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《技术和服务要求响应表》带“▲”条款响应情况 (20.0分)</w:t>
            </w:r>
          </w:p>
        </w:tc>
        <w:tc>
          <w:tcPr>
            <w:tcW w:type="dxa" w:w="5076"/>
          </w:tcPr>
          <w:p>
            <w:pPr>
              <w:pStyle w:val="null3"/>
              <w:jc w:val="left"/>
            </w:pPr>
            <w:r>
              <w:rPr/>
              <w:t>根据投标人的投标文件对《技术和服务要求响应表》中带“▲”条款的响应情况进行评审：完全满足或优于的得20分，其中带“▲”号技术参数（共20项）每有一项负偏离或不响应的扣1分，本项最低扣至0分。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技术参数（除带“▲”号及“★”的技术参数响应程度） (2.0分)</w:t>
            </w:r>
            <w:r>
              <w:rPr/>
              <w:t>，（等次分值选择：</w:t>
            </w:r>
            <w:r>
              <w:rPr/>
              <w:t>0.0;</w:t>
            </w:r>
            <w:r>
              <w:rPr/>
              <w:t>2.0;</w:t>
            </w:r>
            <w:r>
              <w:rPr/>
              <w:t>）</w:t>
            </w:r>
          </w:p>
        </w:tc>
        <w:tc>
          <w:tcPr>
            <w:tcW w:type="dxa" w:w="5076"/>
          </w:tcPr>
          <w:p>
            <w:pPr>
              <w:pStyle w:val="null3"/>
              <w:jc w:val="left"/>
            </w:pPr>
            <w:r>
              <w:rPr/>
              <w:t>根据投标人的投标文件对《技术和服务要求响应表》中非带“▲”条款（不含合同履行期限内拟投入项目团队人员、拟投入本采购包人员资质水平、驻场服务）的响应情况进行评审： 1、完全满足或优于要求的得2分； 2、有1项或以上条款存在负偏离或不响应的，得0分。 注：技术参数中要求提供相关证明资料的须提供相关证明资料并加盖人公章，否则视该条款为负偏离或不响应；不要求提供的，完全响应即为满足条款要求。</w:t>
            </w:r>
          </w:p>
        </w:tc>
      </w:tr>
      <w:tr>
        <w:tc>
          <w:tcPr>
            <w:tcW w:type="dxa" w:w="922"/>
            <w:gridSpan w:val="2"/>
            <w:vMerge/>
          </w:tcPr>
          <w:p/>
        </w:tc>
        <w:tc>
          <w:tcPr>
            <w:tcW w:type="dxa" w:w="2307"/>
          </w:tcPr>
          <w:p>
            <w:pPr>
              <w:pStyle w:val="null3"/>
              <w:jc w:val="left"/>
            </w:pPr>
            <w:r>
              <w:rPr/>
              <w:t>对本采购包需求的理解程度评价及重点难点分 (10.0分)</w:t>
            </w:r>
            <w:r>
              <w:rPr/>
              <w:t>，（等次分值选择：</w:t>
            </w:r>
            <w:r>
              <w:rPr/>
              <w:t>0.0;</w:t>
            </w:r>
            <w:r>
              <w:rPr/>
              <w:t>2.0;</w:t>
            </w:r>
            <w:r>
              <w:rPr/>
              <w:t>6.0;</w:t>
            </w:r>
            <w:r>
              <w:rPr/>
              <w:t>10.0;</w:t>
            </w:r>
            <w:r>
              <w:rPr/>
              <w:t>）</w:t>
            </w:r>
          </w:p>
        </w:tc>
        <w:tc>
          <w:tcPr>
            <w:tcW w:type="dxa" w:w="5076"/>
          </w:tcPr>
          <w:p>
            <w:pPr>
              <w:pStyle w:val="null3"/>
              <w:jc w:val="left"/>
            </w:pPr>
            <w:r>
              <w:rPr/>
              <w:t>根据各投标人对本采购包需求的理解程度评价及重点难点分析进行评审： 1、对项目需求理解透彻及对项目的重点难点分析深入，具有项目需求理解，重点、难点的分析和项目重点、难点的应对措施等内容的，得10分； 2、对项目需求基本能理解及对项目的重点难点分析基本到位，具有项目需求理解、重点难点分析等内容的，得6分； 3、对项目需求理解程度及对项目的重点难点分析合理程度较差，偏离本采购包的需求理解、重点难点分析等内容的，得2分； 4、不提供不得分。</w:t>
            </w:r>
          </w:p>
        </w:tc>
      </w:tr>
      <w:tr>
        <w:tc>
          <w:tcPr>
            <w:tcW w:type="dxa" w:w="922"/>
            <w:gridSpan w:val="2"/>
            <w:vMerge/>
          </w:tcPr>
          <w:p/>
        </w:tc>
        <w:tc>
          <w:tcPr>
            <w:tcW w:type="dxa" w:w="2307"/>
          </w:tcPr>
          <w:p>
            <w:pPr>
              <w:pStyle w:val="null3"/>
              <w:jc w:val="left"/>
            </w:pPr>
            <w:r>
              <w:rPr/>
              <w:t>系统总体设计方案 (5.0分)</w:t>
            </w:r>
            <w:r>
              <w:rPr/>
              <w:t>，（等次分值选择：</w:t>
            </w:r>
            <w:r>
              <w:rPr/>
              <w:t>0.0;</w:t>
            </w:r>
            <w:r>
              <w:rPr/>
              <w:t>1.0;</w:t>
            </w:r>
            <w:r>
              <w:rPr/>
              <w:t>3.0;</w:t>
            </w:r>
            <w:r>
              <w:rPr/>
              <w:t>5.0;</w:t>
            </w:r>
            <w:r>
              <w:rPr/>
              <w:t>）</w:t>
            </w:r>
          </w:p>
        </w:tc>
        <w:tc>
          <w:tcPr>
            <w:tcW w:type="dxa" w:w="5076"/>
          </w:tcPr>
          <w:p>
            <w:pPr>
              <w:pStyle w:val="null3"/>
              <w:jc w:val="left"/>
            </w:pPr>
            <w:r>
              <w:rPr/>
              <w:t>根据投标人提供的系统总体设计方案（包括但不限于对方案技术架构的成熟性，业务流程的合理性，满足用户当前和未来发展的使用需求程度，在项目中的建设优势等）进行评审： 1、投标人提供的系统总体设计方案合理、完整；系统设计合理，完全满足用户需求，系统结构层次合理，设计思路清晰，得5分； 2、投标人提供的系统总体设计方案基本合理、完整，系统设计基本合理，基本满足用户需求；系统结构层次较合理，设计思路较清晰，得3分； 3、投标人提供的系统总体设计方案欠合理性、不完整，系统设计欠合理，在满足用户需求方面欠缺；系统结构层次欠合理，设计思路不够清晰得1分； 4、不提供不得分。</w:t>
            </w:r>
          </w:p>
        </w:tc>
      </w:tr>
      <w:tr>
        <w:tc>
          <w:tcPr>
            <w:tcW w:type="dxa" w:w="922"/>
            <w:gridSpan w:val="2"/>
            <w:vMerge/>
          </w:tcPr>
          <w:p/>
        </w:tc>
        <w:tc>
          <w:tcPr>
            <w:tcW w:type="dxa" w:w="2307"/>
          </w:tcPr>
          <w:p>
            <w:pPr>
              <w:pStyle w:val="null3"/>
              <w:jc w:val="left"/>
            </w:pPr>
            <w:r>
              <w:rPr/>
              <w:t>培训服务方案 (3.0分)</w:t>
            </w:r>
            <w:r>
              <w:rPr/>
              <w:t>，（等次分值选择：</w:t>
            </w:r>
            <w:r>
              <w:rPr/>
              <w:t>0.0;</w:t>
            </w:r>
            <w:r>
              <w:rPr/>
              <w:t>1.0;</w:t>
            </w:r>
            <w:r>
              <w:rPr/>
              <w:t>2.0;</w:t>
            </w:r>
            <w:r>
              <w:rPr/>
              <w:t>3.0;</w:t>
            </w:r>
            <w:r>
              <w:rPr/>
              <w:t>）</w:t>
            </w:r>
          </w:p>
        </w:tc>
        <w:tc>
          <w:tcPr>
            <w:tcW w:type="dxa" w:w="5076"/>
          </w:tcPr>
          <w:p>
            <w:pPr>
              <w:pStyle w:val="null3"/>
              <w:jc w:val="left"/>
            </w:pPr>
            <w:r>
              <w:rPr/>
              <w:t>在满足用户需求的基础上，根据投标人提供的培训服务方案【包括但不限于培训对象（采购人的系统计算机管理人员及业务操作人员），培训内容及培训重点，培训计划的时间、地点、人次等计划安排】进行评审： 1、投标人提供的培训服务方案完整详细包含了培训对象（采购人的系统计算机管理人员及业务操作人员），培训内容及培训重点，培训计划的时间、地点、人次等计划安排，且培训安排合理性强、对培训对象有针对性，得3分； 2、投标人提供的培训服务方案包含了培训对象（采购人的系统计算机管理人员及业务操作人员），培训内容及培训重点，培训计划的时间、地点、人次等计划安排，但方案内容简单，培训安排的合理性、对培训对象的针对性较差，得2分； 3、投标人提供的培训服务方案没有包含培训对象（采购人的系统计算机管理人员及业务操作人员），或提供的方案可行性差不能满足采购需求，得1分；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(2.0分)</w:t>
            </w:r>
          </w:p>
        </w:tc>
        <w:tc>
          <w:tcPr>
            <w:tcW w:type="dxa" w:w="5076"/>
          </w:tcPr>
          <w:p>
            <w:pPr>
              <w:pStyle w:val="null3"/>
              <w:jc w:val="left"/>
            </w:pPr>
            <w:r>
              <w:rPr/>
              <w:t>投标人具有质量管理体系认证证书的得2分。 注：须提供有效期内的证书扫描件作为证明采购。由于成立时间不足导致不能办理相应认证证书的，投标人提供认证机构出具的“成立时间不足，不能办理认证”的书面证明材料，可得相应得分。</w:t>
            </w:r>
          </w:p>
        </w:tc>
      </w:tr>
      <w:tr>
        <w:tc>
          <w:tcPr>
            <w:tcW w:type="dxa" w:w="922"/>
            <w:gridSpan w:val="2"/>
            <w:vMerge/>
          </w:tcPr>
          <w:p/>
        </w:tc>
        <w:tc>
          <w:tcPr>
            <w:tcW w:type="dxa" w:w="2307"/>
          </w:tcPr>
          <w:p>
            <w:pPr>
              <w:pStyle w:val="null3"/>
              <w:jc w:val="left"/>
            </w:pPr>
            <w:r>
              <w:rPr/>
              <w:t>同类业绩 (15.0分)</w:t>
            </w:r>
          </w:p>
        </w:tc>
        <w:tc>
          <w:tcPr>
            <w:tcW w:type="dxa" w:w="5076"/>
          </w:tcPr>
          <w:p>
            <w:pPr>
              <w:pStyle w:val="null3"/>
              <w:jc w:val="left"/>
            </w:pPr>
            <w:r>
              <w:rPr/>
              <w:t>投标人自2019年1月1日至今（以合同签订时间为准）承接的同类项目业绩，每提供一项得3分，本项最高得15分。 注：须同时提供合同关键页扫描件作为证明材料。</w:t>
            </w:r>
          </w:p>
        </w:tc>
      </w:tr>
      <w:tr>
        <w:tc>
          <w:tcPr>
            <w:tcW w:type="dxa" w:w="922"/>
            <w:gridSpan w:val="2"/>
            <w:vMerge/>
          </w:tcPr>
          <w:p/>
        </w:tc>
        <w:tc>
          <w:tcPr>
            <w:tcW w:type="dxa" w:w="2307"/>
          </w:tcPr>
          <w:p>
            <w:pPr>
              <w:pStyle w:val="null3"/>
              <w:jc w:val="left"/>
            </w:pPr>
            <w:r>
              <w:rPr/>
              <w:t>项目团队 (10.0分)</w:t>
            </w:r>
          </w:p>
        </w:tc>
        <w:tc>
          <w:tcPr>
            <w:tcW w:type="dxa" w:w="5076"/>
          </w:tcPr>
          <w:p>
            <w:pPr>
              <w:pStyle w:val="null3"/>
              <w:jc w:val="left"/>
            </w:pPr>
            <w:r>
              <w:rPr/>
              <w:t>投标人拟派： 1、本采购包负责人具有： ①信息系统项目管理师证书的得3分； ②注册信息安全工程师证书的得3分； 本小项最高得6分。 2、项目团队具有： ①系统集成项目管理工程师的，每提供一人得1分，最高得1分； ②信息安全工程师的，每提供一人得1分，最高得1分； ③信息安全保障人员认证证书的，每提供一人得1分，最高得2分； 本小项最高得4分。 注：同一人员具有多个证书的只按最高得分计算一次，不重复得分。须同时提供以上人员相关证书扫描件及人员在本单位投标截止时间前六个月（不含投标截止当月）内任意一个月的社保证明扫描件作证明材料。</w:t>
            </w:r>
          </w:p>
        </w:tc>
      </w:tr>
      <w:tr>
        <w:tc>
          <w:tcPr>
            <w:tcW w:type="dxa" w:w="922"/>
            <w:gridSpan w:val="2"/>
            <w:vMerge/>
          </w:tcPr>
          <w:p/>
        </w:tc>
        <w:tc>
          <w:tcPr>
            <w:tcW w:type="dxa" w:w="2307"/>
          </w:tcPr>
          <w:p>
            <w:pPr>
              <w:pStyle w:val="null3"/>
              <w:jc w:val="left"/>
            </w:pPr>
            <w:r>
              <w:rPr/>
              <w:t>售后服务方案 (3.0分)</w:t>
            </w:r>
            <w:r>
              <w:rPr/>
              <w:t>，（等次分值选择：</w:t>
            </w:r>
            <w:r>
              <w:rPr/>
              <w:t>0.0;</w:t>
            </w:r>
            <w:r>
              <w:rPr/>
              <w:t>1.0;</w:t>
            </w:r>
            <w:r>
              <w:rPr/>
              <w:t>2.0;</w:t>
            </w:r>
            <w:r>
              <w:rPr/>
              <w:t>3.0;</w:t>
            </w:r>
            <w:r>
              <w:rPr/>
              <w:t>）</w:t>
            </w:r>
          </w:p>
        </w:tc>
        <w:tc>
          <w:tcPr>
            <w:tcW w:type="dxa" w:w="5076"/>
          </w:tcPr>
          <w:p>
            <w:pPr>
              <w:pStyle w:val="null3"/>
              <w:jc w:val="left"/>
            </w:pPr>
            <w:r>
              <w:rPr/>
              <w:t>根据投标人提供的售后服务方案进行评审： 1、售后服务方案全面、详细，可行性高的得3分； 2、售后服务方案较全面、较详细，可行性较高的得2分 3、售后服务方案不全面、不详细，可行性差的得1分；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rPr>
        <w:t>佛山市政府采购项目</w:t>
      </w:r>
    </w:p>
    <w:p>
      <w:pPr>
        <w:pStyle w:val="null3"/>
        <w:jc w:val="center"/>
      </w:pPr>
      <w:r>
        <w:rPr>
          <w:sz w:val="68"/>
          <w:color w:val="000000"/>
        </w:rPr>
        <w:t>合同书</w:t>
      </w:r>
    </w:p>
    <w:p>
      <w:pPr>
        <w:pStyle w:val="null3"/>
        <w:jc w:val="center"/>
      </w:pPr>
      <w:r>
        <w:rPr>
          <w:sz w:val="24"/>
          <w:b/>
          <w:color w:val="000000"/>
        </w:rPr>
        <w:t>项目编号：</w:t>
      </w:r>
      <w:r>
        <w:rPr>
          <w:sz w:val="24"/>
          <w:b/>
          <w:color w:val="000000"/>
          <w:u w:val="single"/>
        </w:rPr>
        <w:t>GDZC-24GZ075</w:t>
      </w:r>
    </w:p>
    <w:p>
      <w:pPr>
        <w:pStyle w:val="null3"/>
        <w:ind w:firstLine="2409"/>
        <w:jc w:val="both"/>
      </w:pPr>
      <w:r>
        <w:rPr>
          <w:sz w:val="24"/>
          <w:b/>
          <w:color w:val="000000"/>
        </w:rPr>
        <w:t>项目名称：</w:t>
      </w:r>
      <w:r>
        <w:rPr>
          <w:sz w:val="24"/>
          <w:b/>
          <w:color w:val="000000"/>
          <w:u w:val="single"/>
        </w:rPr>
        <w:t>一院两区信息化建设</w:t>
      </w:r>
    </w:p>
    <w:p>
      <w:pPr>
        <w:pStyle w:val="null3"/>
        <w:ind w:firstLine="2409"/>
        <w:jc w:val="both"/>
      </w:pPr>
      <w:r>
        <w:rPr>
          <w:sz w:val="24"/>
          <w:b/>
          <w:color w:val="000000"/>
        </w:rPr>
        <w:t>采购包号：</w:t>
      </w:r>
      <w:r>
        <w:rPr>
          <w:sz w:val="21"/>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佛山市第二人民医院</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 xml:space="preserve">         </w:t>
            </w:r>
            <w:r>
              <w:rPr>
                <w:sz w:val="28"/>
                <w:color w:val="000000"/>
                <w:u w:val="single"/>
              </w:rPr>
              <w:t>（中标人名称）</w:t>
            </w:r>
            <w:r>
              <w:rPr>
                <w:sz w:val="28"/>
                <w:color w:val="000000"/>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 xml:space="preserve">       </w:t>
            </w:r>
            <w:r>
              <w:rPr>
                <w:sz w:val="28"/>
                <w:color w:val="000000"/>
                <w:u w:val="single"/>
              </w:rPr>
              <w:t>年</w:t>
            </w:r>
            <w:r>
              <w:rPr>
                <w:sz w:val="21"/>
                <w:u w:val="single"/>
              </w:rPr>
              <w:t xml:space="preserve">   </w:t>
            </w:r>
            <w:r>
              <w:rPr>
                <w:sz w:val="28"/>
                <w:color w:val="000000"/>
                <w:u w:val="single"/>
              </w:rPr>
              <w:t>月</w:t>
            </w:r>
            <w:r>
              <w:rPr>
                <w:sz w:val="21"/>
                <w:u w:val="single"/>
              </w:rPr>
              <w:t xml:space="preserve">    </w:t>
            </w:r>
            <w:r>
              <w:rPr>
                <w:sz w:val="28"/>
                <w:color w:val="000000"/>
                <w:u w:val="single"/>
              </w:rPr>
              <w:t>日</w:t>
            </w:r>
            <w:r>
              <w:rPr>
                <w:sz w:val="28"/>
                <w:color w:val="000000"/>
                <w:u w:val="single"/>
              </w:rPr>
              <w:t xml:space="preserve">       </w:t>
            </w:r>
          </w:p>
        </w:tc>
      </w:tr>
    </w:tbl>
    <w:p>
      <w:pPr>
        <w:pStyle w:val="null3"/>
        <w:jc w:val="center"/>
      </w:pPr>
      <w:r>
        <w:rPr>
          <w:sz w:val="21"/>
          <w:i/>
        </w:rPr>
        <w:t>注：本合同仅为合同的参考文本，可根据项目的具体要求进行修订。</w:t>
      </w:r>
    </w:p>
    <w:p>
      <w:pPr>
        <w:pStyle w:val="null3"/>
        <w:jc w:val="both"/>
      </w:pPr>
      <w:r>
        <w:rPr/>
        <w:t xml:space="preserve"> </w:t>
      </w:r>
    </w:p>
    <w:p>
      <w:pPr>
        <w:pStyle w:val="null3"/>
        <w:jc w:val="center"/>
      </w:pPr>
      <w:r>
        <w:rPr>
          <w:sz w:val="44"/>
          <w:b/>
          <w:color w:val="000000"/>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7"/>
        <w:gridCol w:w="6669"/>
      </w:tblGrid>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项目名称</w:t>
            </w:r>
            <w:r>
              <w:rPr>
                <w:sz w:val="21"/>
                <w:b/>
                <w:color w:val="000000"/>
              </w:rPr>
              <w:t>：</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一院两区信息化建设</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项目编号：</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GDZC-24GZ075</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甲</w:t>
            </w:r>
            <w:r>
              <w:rPr>
                <w:sz w:val="21"/>
                <w:b/>
              </w:rPr>
              <w:t xml:space="preserve">    </w:t>
            </w:r>
            <w:r>
              <w:rPr>
                <w:sz w:val="24"/>
                <w:b/>
                <w:color w:val="000000"/>
              </w:rPr>
              <w:t>方：</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佛山市第二人民医院</w:t>
            </w:r>
          </w:p>
        </w:tc>
      </w:tr>
      <w:tr>
        <w:tc>
          <w:tcPr>
            <w:tcW w:type="dxa" w:w="16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乙</w:t>
            </w:r>
            <w:r>
              <w:rPr>
                <w:sz w:val="24"/>
                <w:b/>
                <w:color w:val="000000"/>
              </w:rPr>
              <w:t xml:space="preserve">   </w:t>
            </w:r>
            <w:r>
              <w:rPr>
                <w:sz w:val="24"/>
                <w:b/>
                <w:color w:val="000000"/>
              </w:rPr>
              <w:t>方：</w:t>
            </w:r>
          </w:p>
        </w:tc>
        <w:tc>
          <w:tcPr>
            <w:tcW w:type="dxa" w:w="66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（中标人）</w:t>
            </w:r>
            <w:r>
              <w:rPr>
                <w:sz w:val="24"/>
                <w:color w:val="000000"/>
                <w:u w:val="single"/>
              </w:rPr>
              <w:t xml:space="preserve">                                </w:t>
            </w:r>
          </w:p>
        </w:tc>
      </w:tr>
    </w:tbl>
    <w:p>
      <w:pPr>
        <w:pStyle w:val="null3"/>
        <w:jc w:val="both"/>
      </w:pPr>
      <w:r>
        <w:rPr>
          <w:sz w:val="24"/>
          <w:color w:val="000000"/>
          <w:shd w:fill="FFFFFF" w:val="clear"/>
        </w:rPr>
        <w:t>根据《中华人民共和国政府采购法》《中华人民共和国民法典》和本项目采购文件的要求，</w:t>
      </w:r>
      <w:r>
        <w:rPr>
          <w:sz w:val="24"/>
          <w:color w:val="000000"/>
          <w:shd w:fill="FFFFFF" w:val="clear"/>
        </w:rPr>
        <w:t>经双方协商，</w:t>
      </w:r>
      <w:r>
        <w:rPr>
          <w:sz w:val="24"/>
          <w:color w:val="000000"/>
          <w:shd w:fill="FFFFFF" w:val="clear"/>
        </w:rPr>
        <w:t>本着平等互利和诚实信用的原则，</w:t>
      </w:r>
      <w:r>
        <w:rPr>
          <w:sz w:val="24"/>
          <w:color w:val="000000"/>
          <w:shd w:fill="FFFFFF" w:val="clear"/>
        </w:rPr>
        <w:t>一致同意签订本合同如下。</w:t>
      </w:r>
    </w:p>
    <w:p>
      <w:pPr>
        <w:pStyle w:val="null3"/>
      </w:pPr>
      <w:r>
        <w:rPr>
          <w:sz w:val="24"/>
          <w:b/>
          <w:color w:val="000000"/>
          <w:shd w:fill="FFFFFF" w:val="clear"/>
        </w:rPr>
        <w:t>一、</w:t>
      </w:r>
      <w:r>
        <w:rPr>
          <w:sz w:val="24"/>
          <w:b/>
          <w:color w:val="000000"/>
          <w:shd w:fill="FFFFFF" w:val="clear"/>
        </w:rPr>
        <w:t>项目主要内容及实现功能目标：</w:t>
      </w:r>
    </w:p>
    <w:p>
      <w:pPr>
        <w:pStyle w:val="null3"/>
        <w:ind w:firstLine="420"/>
      </w:pPr>
      <w:r>
        <w:rPr>
          <w:sz w:val="24"/>
          <w:color w:val="000000"/>
        </w:rPr>
        <w:t>（按照采购文件和投标文件执行）</w:t>
      </w:r>
    </w:p>
    <w:p>
      <w:pPr>
        <w:pStyle w:val="null3"/>
      </w:pPr>
      <w:r>
        <w:rPr>
          <w:sz w:val="24"/>
          <w:b/>
          <w:color w:val="000000"/>
          <w:shd w:fill="FFFFFF" w:val="clear"/>
        </w:rPr>
        <w:t>二、</w:t>
      </w:r>
      <w:r>
        <w:rPr>
          <w:sz w:val="24"/>
          <w:b/>
          <w:color w:val="000000"/>
          <w:shd w:fill="FFFFFF" w:val="clear"/>
        </w:rPr>
        <w:t>产品及服务供应清单：</w:t>
      </w:r>
      <w:r>
        <w:rPr>
          <w:sz w:val="24"/>
          <w:color w:val="000000"/>
          <w:shd w:fill="FFFFFF" w:val="clear"/>
        </w:rPr>
        <w:t>见附件一</w:t>
      </w:r>
      <w:r>
        <w:rPr>
          <w:sz w:val="24"/>
          <w:color w:val="000000"/>
          <w:shd w:fill="FFFFFF" w:val="clear"/>
        </w:rPr>
        <w:t>《报价清单明细表》。</w:t>
      </w:r>
    </w:p>
    <w:p>
      <w:pPr>
        <w:pStyle w:val="null3"/>
      </w:pPr>
      <w:r>
        <w:rPr>
          <w:sz w:val="24"/>
          <w:b/>
          <w:color w:val="000000"/>
          <w:shd w:fill="FFFFFF" w:val="clear"/>
        </w:rPr>
        <w:t>三、</w:t>
      </w:r>
      <w:r>
        <w:rPr>
          <w:sz w:val="24"/>
          <w:b/>
          <w:color w:val="000000"/>
          <w:shd w:fill="FFFFFF" w:val="clear"/>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内</w:t>
            </w:r>
            <w:r>
              <w:rPr>
                <w:sz w:val="21"/>
                <w:b/>
                <w:color w:val="000000"/>
                <w:shd w:fill="FFFFFF" w:val="clear"/>
              </w:rPr>
              <w:t xml:space="preserve">  </w:t>
            </w:r>
            <w:r>
              <w:rPr>
                <w:sz w:val="21"/>
                <w:b/>
                <w:color w:val="000000"/>
                <w:shd w:fill="FFFFFF" w:val="clear"/>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人民币</w:t>
            </w:r>
            <w:r>
              <w:rPr>
                <w:sz w:val="21"/>
                <w:color w:val="000000"/>
                <w:shd w:fill="FFFFFF" w:val="clear"/>
              </w:rPr>
              <w:t xml:space="preserve">  </w:t>
            </w:r>
            <w:r>
              <w:rPr>
                <w:sz w:val="21"/>
                <w:color w:val="000000"/>
                <w:shd w:fill="FFFFFF" w:val="clear"/>
              </w:rPr>
              <w:t>小写：</w:t>
            </w:r>
            <w:r>
              <w:rPr>
                <w:sz w:val="19"/>
                <w:u w:val="single"/>
              </w:rPr>
              <w:t xml:space="preserve">             </w:t>
            </w:r>
            <w:r>
              <w:rPr>
                <w:sz w:val="21"/>
                <w:color w:val="000000"/>
                <w:shd w:fill="FFFFFF" w:val="clear"/>
              </w:rPr>
              <w:t>元</w:t>
            </w:r>
            <w:r>
              <w:rPr>
                <w:sz w:val="21"/>
                <w:color w:val="000000"/>
              </w:rPr>
              <w:t>；</w:t>
            </w:r>
          </w:p>
          <w:p>
            <w:pPr>
              <w:pStyle w:val="null3"/>
            </w:pPr>
            <w:r>
              <w:rPr>
                <w:sz w:val="21"/>
                <w:color w:val="000000"/>
                <w:shd w:fill="FFFFFF" w:val="clear"/>
              </w:rPr>
              <w:t>大写：</w:t>
            </w:r>
            <w:r>
              <w:rPr>
                <w:sz w:val="19"/>
                <w:u w:val="single"/>
              </w:rPr>
              <w:t xml:space="preserve">                          </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（一）</w:t>
            </w:r>
            <w:r>
              <w:rPr>
                <w:sz w:val="21"/>
                <w:color w:val="000000"/>
                <w:shd w:fill="FFFFFF" w:val="clear"/>
              </w:rPr>
              <w:t>合同总额包括</w:t>
            </w:r>
            <w:r>
              <w:rPr>
                <w:sz w:val="21"/>
                <w:color w:val="000000"/>
                <w:shd w:fill="FFFFFF" w:val="clear"/>
              </w:rPr>
              <w:t>……</w:t>
            </w:r>
            <w:r>
              <w:rPr>
                <w:sz w:val="21"/>
                <w:color w:val="000000"/>
                <w:shd w:fill="FFFFFF" w:val="clear"/>
              </w:rPr>
              <w:t>、税费、合理利润、风险费用及合同实施过程中的不可预见费用等。</w:t>
            </w:r>
          </w:p>
          <w:p>
            <w:pPr>
              <w:pStyle w:val="null3"/>
            </w:pPr>
            <w:r>
              <w:rPr>
                <w:sz w:val="21"/>
                <w:color w:val="000000"/>
                <w:shd w:fill="FFFFFF" w:val="clear"/>
              </w:rPr>
              <w:t>（二）</w:t>
            </w:r>
            <w:r>
              <w:rPr>
                <w:sz w:val="21"/>
                <w:color w:val="000000"/>
                <w:shd w:fill="FFFFFF" w:val="clear"/>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项目服务地点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甲方（用户）指定地点</w:t>
            </w:r>
            <w:r>
              <w:rPr>
                <w:sz w:val="21"/>
                <w:color w:val="000000"/>
              </w:rPr>
              <w:t>。详细地址为：</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服务期</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合同生效后提供</w:t>
            </w:r>
            <w:r>
              <w:rPr>
                <w:sz w:val="21"/>
                <w:color w:val="000000"/>
                <w:shd w:fill="FFFFFF" w:val="clear"/>
              </w:rPr>
              <w:t>___</w:t>
            </w:r>
            <w:r>
              <w:rPr>
                <w:sz w:val="21"/>
                <w:color w:val="000000"/>
                <w:shd w:fill="FFFFFF" w:val="clear"/>
              </w:rPr>
              <w:t>年服务，即从</w:t>
            </w:r>
            <w:r>
              <w:rPr>
                <w:sz w:val="19"/>
                <w:u w:val="single"/>
              </w:rPr>
              <w:t xml:space="preserve">   </w:t>
            </w:r>
            <w:r>
              <w:rPr>
                <w:sz w:val="21"/>
                <w:color w:val="000000"/>
                <w:shd w:fill="FFFFFF" w:val="clear"/>
              </w:rPr>
              <w:t>年</w:t>
            </w:r>
            <w:r>
              <w:rPr>
                <w:sz w:val="19"/>
                <w:u w:val="single"/>
              </w:rPr>
              <w:t xml:space="preserve">   </w:t>
            </w:r>
            <w:r>
              <w:rPr>
                <w:sz w:val="21"/>
                <w:color w:val="000000"/>
                <w:shd w:fill="FFFFFF" w:val="clear"/>
              </w:rPr>
              <w:t>月</w:t>
            </w:r>
            <w:r>
              <w:rPr>
                <w:sz w:val="19"/>
                <w:u w:val="single"/>
              </w:rPr>
              <w:t xml:space="preserve">   </w:t>
            </w:r>
            <w:r>
              <w:rPr>
                <w:sz w:val="21"/>
                <w:color w:val="000000"/>
                <w:shd w:fill="FFFFFF" w:val="clear"/>
              </w:rPr>
              <w:t>日至</w:t>
            </w:r>
            <w:r>
              <w:rPr>
                <w:sz w:val="19"/>
                <w:u w:val="single"/>
              </w:rPr>
              <w:t xml:space="preserve">   </w:t>
            </w:r>
            <w:r>
              <w:rPr>
                <w:sz w:val="21"/>
                <w:color w:val="000000"/>
                <w:shd w:fill="FFFFFF" w:val="clear"/>
              </w:rPr>
              <w:t>年</w:t>
            </w:r>
            <w:r>
              <w:rPr>
                <w:sz w:val="19"/>
                <w:u w:val="single"/>
              </w:rPr>
              <w:t xml:space="preserve">   </w:t>
            </w:r>
            <w:r>
              <w:rPr>
                <w:sz w:val="21"/>
                <w:color w:val="000000"/>
                <w:shd w:fill="FFFFFF" w:val="clear"/>
              </w:rPr>
              <w:t>月</w:t>
            </w:r>
            <w:r>
              <w:rPr>
                <w:sz w:val="19"/>
                <w:u w:val="single"/>
              </w:rPr>
              <w:t xml:space="preserve">   </w:t>
            </w:r>
            <w:r>
              <w:rPr>
                <w:sz w:val="21"/>
                <w:color w:val="000000"/>
                <w:shd w:fill="FFFFFF" w:val="clear"/>
              </w:rPr>
              <w:t>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合同签订</w:t>
            </w:r>
            <w:r>
              <w:rPr>
                <w:sz w:val="21"/>
                <w:b/>
                <w:color w:val="000000"/>
              </w:rPr>
              <w:t>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一次性签订</w:t>
            </w:r>
            <w:r>
              <w:rPr>
                <w:sz w:val="21"/>
                <w:color w:val="000000"/>
                <w:shd w:fill="FFFFFF" w:val="clear"/>
              </w:rPr>
              <w:t>本采购包</w:t>
            </w:r>
            <w:r>
              <w:rPr>
                <w:sz w:val="21"/>
                <w:color w:val="000000"/>
                <w:shd w:fill="FFFFFF" w:val="clear"/>
              </w:rPr>
              <w:t>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（一）</w:t>
            </w:r>
            <w:r>
              <w:rPr>
                <w:sz w:val="21"/>
                <w:color w:val="000000"/>
                <w:shd w:fill="FFFFFF" w:val="clear"/>
              </w:rPr>
              <w:t>乙方须向甲方提供依法纳税的服务费发票。</w:t>
            </w:r>
          </w:p>
          <w:p>
            <w:pPr>
              <w:pStyle w:val="null3"/>
              <w:jc w:val="left"/>
            </w:pPr>
            <w:r>
              <w:rPr>
                <w:sz w:val="21"/>
                <w:color w:val="000000"/>
                <w:shd w:fill="FFFFFF" w:val="clear"/>
              </w:rPr>
              <w:t>（二）</w:t>
            </w:r>
            <w:r>
              <w:rPr>
                <w:sz w:val="21"/>
                <w:color w:val="000000"/>
                <w:shd w:fill="FFFFFF" w:val="clear"/>
              </w:rPr>
              <w:t>服务费以转账方式转入乙方的银行账户。</w:t>
            </w:r>
          </w:p>
          <w:p>
            <w:pPr>
              <w:pStyle w:val="null3"/>
              <w:jc w:val="left"/>
            </w:pPr>
            <w:r>
              <w:rPr>
                <w:sz w:val="21"/>
                <w:color w:val="000000"/>
                <w:shd w:fill="FFFFFF" w:val="clear"/>
              </w:rPr>
              <w:t>（三）</w:t>
            </w:r>
            <w:r>
              <w:rPr>
                <w:sz w:val="21"/>
                <w:color w:val="000000"/>
                <w:shd w:fill="FFFFFF" w:val="clear"/>
              </w:rPr>
              <w:t>收款方、出具发票方、合同乙方均必须与中标（成交）供应商名称一致。</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8.</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sz w:val="24"/>
          <w:b/>
          <w:color w:val="000000"/>
          <w:shd w:fill="FFFFFF" w:val="clear"/>
        </w:rPr>
        <w:t>四、</w:t>
      </w:r>
      <w:r>
        <w:rPr>
          <w:sz w:val="24"/>
          <w:b/>
          <w:color w:val="000000"/>
          <w:shd w:fill="FFFFFF" w:val="clear"/>
        </w:rPr>
        <w:t>服务对照执行标准：</w:t>
      </w:r>
    </w:p>
    <w:p>
      <w:pPr>
        <w:pStyle w:val="null3"/>
      </w:pPr>
      <w:r>
        <w:rPr>
          <w:sz w:val="21"/>
          <w:color w:val="000000"/>
          <w:shd w:fill="FFFFFF" w:val="clear"/>
        </w:rPr>
        <w:t>（一）</w:t>
      </w:r>
      <w:r>
        <w:rPr>
          <w:sz w:val="24"/>
          <w:color w:val="000000"/>
          <w:shd w:fill="FFFFFF" w:val="clear"/>
        </w:rPr>
        <w:t>符合中华人民共和国国家和履约地相关安全质量标准、行业技术规范标准；</w:t>
      </w:r>
    </w:p>
    <w:p>
      <w:pPr>
        <w:pStyle w:val="null3"/>
      </w:pPr>
      <w:r>
        <w:rPr>
          <w:sz w:val="21"/>
          <w:color w:val="000000"/>
          <w:shd w:fill="FFFFFF" w:val="clear"/>
        </w:rPr>
        <w:t>（二）</w:t>
      </w:r>
      <w:r>
        <w:rPr>
          <w:sz w:val="24"/>
          <w:color w:val="000000"/>
          <w:shd w:fill="FFFFFF" w:val="clear"/>
        </w:rPr>
        <w:t>符合采购文件和响应承诺中各方共同认可的合理要求；</w:t>
      </w:r>
    </w:p>
    <w:p>
      <w:pPr>
        <w:pStyle w:val="null3"/>
        <w:ind w:firstLine="420"/>
      </w:pPr>
      <w:r>
        <w:rPr>
          <w:sz w:val="24"/>
          <w:color w:val="000000"/>
          <w:shd w:fill="FFFFFF" w:val="clear"/>
        </w:rPr>
        <w:t>上述各类标准与法规必须是有关官方机构最新发布的现行标准版本。</w:t>
      </w:r>
    </w:p>
    <w:p>
      <w:pPr>
        <w:pStyle w:val="null3"/>
      </w:pPr>
      <w:r>
        <w:rPr>
          <w:sz w:val="24"/>
          <w:b/>
          <w:color w:val="000000"/>
          <w:shd w:fill="FFFFFF" w:val="clear"/>
        </w:rPr>
        <w:t>五、</w:t>
      </w:r>
      <w:r>
        <w:rPr>
          <w:sz w:val="24"/>
          <w:b/>
          <w:color w:val="000000"/>
          <w:shd w:fill="FFFFFF" w:val="clear"/>
        </w:rPr>
        <w:t>投诉跟踪服务要求：</w:t>
      </w:r>
    </w:p>
    <w:p>
      <w:pPr>
        <w:pStyle w:val="null3"/>
      </w:pPr>
      <w:r>
        <w:rPr>
          <w:sz w:val="21"/>
          <w:color w:val="000000"/>
          <w:shd w:fill="FFFFFF" w:val="clear"/>
        </w:rPr>
        <w:t>（一）</w:t>
      </w:r>
      <w:r>
        <w:rPr>
          <w:sz w:val="24"/>
          <w:color w:val="000000"/>
          <w:shd w:fill="FFFFFF" w:val="clear"/>
        </w:rPr>
        <w:t>乙方须提供常设的投诉热线服务，并对投诉内容进行及时跟踪、回访。对甲方的投诉与通知，必须按甲方指定的时间内处理完毕，若</w:t>
      </w:r>
      <w:r>
        <w:rPr>
          <w:sz w:val="24"/>
          <w:color w:val="000000"/>
          <w:shd w:fill="FFFFFF" w:val="clear"/>
        </w:rPr>
        <w:t>突发</w:t>
      </w:r>
      <w:r>
        <w:rPr>
          <w:sz w:val="24"/>
          <w:color w:val="000000"/>
          <w:shd w:fill="FFFFFF" w:val="clear"/>
        </w:rPr>
        <w:t>事件不能在短时间内解决，乙方必须采取应急措施，或按甲方认可的应急方案执行，不得影响甲方的正常工作业务。</w:t>
      </w:r>
    </w:p>
    <w:p>
      <w:pPr>
        <w:pStyle w:val="null3"/>
      </w:pPr>
      <w:r>
        <w:rPr>
          <w:sz w:val="21"/>
          <w:color w:val="000000"/>
          <w:shd w:fill="FFFFFF" w:val="clear"/>
        </w:rPr>
        <w:t>（二）</w:t>
      </w:r>
      <w:r>
        <w:rPr>
          <w:sz w:val="24"/>
          <w:color w:val="000000"/>
          <w:shd w:fill="FFFFFF" w:val="clear"/>
        </w:rPr>
        <w:t>服务期内，甲方有权按</w:t>
      </w:r>
      <w:r>
        <w:rPr>
          <w:sz w:val="24"/>
          <w:color w:val="000000"/>
          <w:shd w:fill="FFFFFF" w:val="clear"/>
        </w:rPr>
        <w:t>本采购包</w:t>
      </w:r>
      <w:r>
        <w:rPr>
          <w:sz w:val="24"/>
          <w:color w:val="000000"/>
          <w:shd w:fill="FFFFFF" w:val="clear"/>
        </w:rPr>
        <w:t>的管理要求对乙方进行不定期抽查检查，若对不合格的管理服务提出警告后，仍未得到有效解决时，甲方有权终止管理合同。</w:t>
      </w:r>
    </w:p>
    <w:p>
      <w:pPr>
        <w:pStyle w:val="null3"/>
      </w:pPr>
      <w:r>
        <w:rPr>
          <w:sz w:val="21"/>
          <w:color w:val="000000"/>
          <w:shd w:fill="FFFFFF" w:val="clear"/>
        </w:rPr>
        <w:t>（三）</w:t>
      </w:r>
      <w:r>
        <w:rPr>
          <w:sz w:val="24"/>
          <w:color w:val="000000"/>
          <w:shd w:fill="FFFFFF" w:val="clear"/>
        </w:rPr>
        <w:t>乙方服务机构名称及地址：</w:t>
      </w:r>
      <w:r>
        <w:rPr/>
        <w:t xml:space="preserve"> </w:t>
      </w:r>
    </w:p>
    <w:p>
      <w:pPr>
        <w:pStyle w:val="null3"/>
        <w:ind w:firstLine="420"/>
      </w:pPr>
      <w:r>
        <w:rPr>
          <w:sz w:val="24"/>
          <w:color w:val="000000"/>
          <w:shd w:fill="FFFFFF" w:val="clear"/>
        </w:rPr>
        <w:t>联系人</w:t>
      </w:r>
      <w:r>
        <w:rPr>
          <w:sz w:val="24"/>
          <w:color w:val="000000"/>
          <w:shd w:fill="FFFFFF" w:val="clear"/>
        </w:rPr>
        <w:t>1</w:t>
      </w:r>
      <w:r>
        <w:rPr>
          <w:sz w:val="24"/>
          <w:color w:val="000000"/>
          <w:shd w:fill="FFFFFF" w:val="clear"/>
        </w:rPr>
        <w:t>：          ，联系电话：            ，手机：          ；</w:t>
      </w:r>
    </w:p>
    <w:p>
      <w:pPr>
        <w:pStyle w:val="null3"/>
        <w:ind w:firstLine="420"/>
      </w:pPr>
      <w:r>
        <w:rPr>
          <w:sz w:val="24"/>
          <w:color w:val="000000"/>
          <w:shd w:fill="FFFFFF" w:val="clear"/>
        </w:rPr>
        <w:t>联系人</w:t>
      </w:r>
      <w:r>
        <w:rPr>
          <w:sz w:val="24"/>
          <w:color w:val="000000"/>
          <w:shd w:fill="FFFFFF" w:val="clear"/>
        </w:rPr>
        <w:t>2</w:t>
      </w:r>
      <w:r>
        <w:rPr>
          <w:sz w:val="24"/>
          <w:color w:val="000000"/>
          <w:shd w:fill="FFFFFF" w:val="clear"/>
        </w:rPr>
        <w:t>：          ，联系电话：            ，手机：          ；</w:t>
      </w:r>
    </w:p>
    <w:p>
      <w:pPr>
        <w:pStyle w:val="null3"/>
        <w:ind w:firstLine="420"/>
      </w:pPr>
      <w:r>
        <w:rPr>
          <w:sz w:val="24"/>
          <w:color w:val="000000"/>
          <w:shd w:fill="FFFFFF" w:val="clear"/>
        </w:rPr>
        <w:t>服务专线电话：</w:t>
      </w:r>
    </w:p>
    <w:p>
      <w:pPr>
        <w:pStyle w:val="null3"/>
      </w:pPr>
      <w:r>
        <w:rPr>
          <w:sz w:val="21"/>
          <w:color w:val="000000"/>
          <w:shd w:fill="FFFFFF" w:val="clear"/>
        </w:rPr>
        <w:t>（四）</w:t>
      </w:r>
      <w:r>
        <w:rPr>
          <w:sz w:val="24"/>
          <w:color w:val="000000"/>
          <w:shd w:fill="FFFFFF" w:val="clear"/>
        </w:rPr>
        <w:t>其他服务要求：（补充内容不得对采购文件和投标文件作实质性修改）</w:t>
      </w:r>
    </w:p>
    <w:p>
      <w:pPr>
        <w:pStyle w:val="null3"/>
        <w:ind w:left="510"/>
      </w:pPr>
      <w:r>
        <w:rPr>
          <w:u w:val="single"/>
        </w:rPr>
        <w:t xml:space="preserve">                                                          </w:t>
      </w:r>
      <w:r>
        <w:rPr>
          <w:sz w:val="24"/>
          <w:color w:val="000000"/>
          <w:shd w:fill="FFFFFF" w:val="clear"/>
        </w:rPr>
        <w:t>。</w:t>
      </w:r>
    </w:p>
    <w:p>
      <w:pPr>
        <w:pStyle w:val="null3"/>
      </w:pPr>
      <w:r>
        <w:rPr>
          <w:sz w:val="24"/>
          <w:b/>
          <w:color w:val="000000"/>
        </w:rPr>
        <w:t>六、</w:t>
      </w:r>
      <w:r>
        <w:rPr>
          <w:sz w:val="24"/>
          <w:b/>
          <w:color w:val="000000"/>
        </w:rPr>
        <w:t>验收要求：</w:t>
      </w:r>
    </w:p>
    <w:p>
      <w:pPr>
        <w:pStyle w:val="null3"/>
      </w:pPr>
      <w:r>
        <w:rPr>
          <w:sz w:val="21"/>
          <w:color w:val="000000"/>
          <w:shd w:fill="FFFFFF" w:val="clear"/>
        </w:rPr>
        <w:t>（一）</w:t>
      </w:r>
      <w:r>
        <w:rPr>
          <w:sz w:val="24"/>
          <w:color w:val="000000"/>
          <w:shd w:fill="FFFFFF" w:val="clear"/>
        </w:rPr>
        <w:t>甲方在收到乙方项目验收建议之日起</w:t>
      </w:r>
      <w:r>
        <w:rPr>
          <w:sz w:val="24"/>
          <w:color w:val="000000"/>
          <w:shd w:fill="FFFFFF" w:val="clear"/>
        </w:rPr>
        <w:t>7</w:t>
      </w:r>
      <w:r>
        <w:rPr>
          <w:sz w:val="24"/>
          <w:color w:val="000000"/>
          <w:shd w:fill="FFFFFF" w:val="clear"/>
        </w:rPr>
        <w:t>个工作日内按照合同的约定对履约情况进行验收。乙方需为验收提供必需的一切条件及相关费用，并提供</w:t>
      </w:r>
      <w:r>
        <w:rPr>
          <w:sz w:val="24"/>
          <w:color w:val="000000"/>
          <w:shd w:fill="FFFFFF" w:val="clear"/>
        </w:rPr>
        <w:t>本采购包</w:t>
      </w:r>
      <w:r>
        <w:rPr>
          <w:sz w:val="24"/>
          <w:color w:val="000000"/>
          <w:shd w:fill="FFFFFF" w:val="clear"/>
        </w:rPr>
        <w:t>的相关文档和验收所需资料，积极配合甲方完成验收工作。</w:t>
      </w:r>
    </w:p>
    <w:p>
      <w:pPr>
        <w:pStyle w:val="null3"/>
      </w:pPr>
      <w:r>
        <w:rPr>
          <w:sz w:val="21"/>
          <w:color w:val="000000"/>
          <w:shd w:fill="FFFFFF" w:val="clear"/>
        </w:rPr>
        <w:t>（二）</w:t>
      </w:r>
      <w:r>
        <w:rPr>
          <w:sz w:val="24"/>
          <w:color w:val="000000"/>
          <w:shd w:fill="FFFFFF" w:val="clear"/>
        </w:rPr>
        <w:t>其他验收要求：（补充内容不得对采购文件和投标文件作实质性修改）</w:t>
      </w:r>
    </w:p>
    <w:p>
      <w:pPr>
        <w:pStyle w:val="null3"/>
        <w:ind w:firstLine="480"/>
      </w:pPr>
      <w:r>
        <w:rPr>
          <w:u w:val="single"/>
        </w:rPr>
        <w:t xml:space="preserve">                                                              </w:t>
      </w:r>
      <w:r>
        <w:rPr>
          <w:u w:val="single"/>
        </w:rPr>
        <w:t xml:space="preserve"> </w:t>
      </w:r>
      <w:r>
        <w:rPr>
          <w:u w:val="single"/>
        </w:rPr>
        <w:t xml:space="preserve"> </w:t>
      </w:r>
      <w:r>
        <w:rPr>
          <w:sz w:val="24"/>
          <w:color w:val="000000"/>
          <w:shd w:fill="FFFFFF" w:val="clear"/>
        </w:rPr>
        <w:t>。</w:t>
      </w:r>
    </w:p>
    <w:p>
      <w:pPr>
        <w:pStyle w:val="null3"/>
      </w:pPr>
      <w:r>
        <w:rPr>
          <w:sz w:val="24"/>
          <w:b/>
          <w:color w:val="000000"/>
        </w:rPr>
        <w:t>七、</w:t>
      </w:r>
      <w:r>
        <w:rPr>
          <w:sz w:val="24"/>
          <w:b/>
          <w:color w:val="000000"/>
        </w:rPr>
        <w:t>知识产权和</w:t>
      </w:r>
      <w:r>
        <w:rPr>
          <w:sz w:val="24"/>
          <w:b/>
          <w:color w:val="000000"/>
          <w:shd w:fill="FFFFFF" w:val="clear"/>
        </w:rPr>
        <w:t>保密要求：</w:t>
      </w:r>
    </w:p>
    <w:p>
      <w:pPr>
        <w:pStyle w:val="null3"/>
        <w:ind w:left="510"/>
      </w:pPr>
      <w:r>
        <w:rPr>
          <w:u w:val="single"/>
        </w:rPr>
        <w:t xml:space="preserve">                                                                </w:t>
      </w:r>
      <w:r>
        <w:rPr>
          <w:sz w:val="24"/>
          <w:color w:val="000000"/>
        </w:rPr>
        <w:t>。</w:t>
      </w:r>
    </w:p>
    <w:p>
      <w:pPr>
        <w:pStyle w:val="null3"/>
      </w:pPr>
      <w:r>
        <w:rPr>
          <w:sz w:val="24"/>
          <w:b/>
          <w:color w:val="000000"/>
          <w:shd w:fill="FFFFFF" w:val="clear"/>
        </w:rPr>
        <w:t>八、</w:t>
      </w:r>
      <w:r>
        <w:rPr>
          <w:sz w:val="24"/>
          <w:b/>
          <w:color w:val="000000"/>
          <w:shd w:fill="FFFFFF" w:val="clear"/>
        </w:rPr>
        <w:t>违约责任：</w:t>
      </w:r>
    </w:p>
    <w:p>
      <w:pPr>
        <w:pStyle w:val="null3"/>
      </w:pPr>
      <w:r>
        <w:rPr>
          <w:sz w:val="21"/>
          <w:color w:val="000000"/>
          <w:shd w:fill="FFFFFF" w:val="clear"/>
        </w:rPr>
        <w:t>（一）</w:t>
      </w:r>
      <w:r>
        <w:rPr>
          <w:sz w:val="24"/>
          <w:color w:val="000000"/>
          <w:shd w:fill="FFFFFF" w:val="clear"/>
        </w:rPr>
        <w:t>乙方未按要求履行合同义务时，须从违约之日起每日按合同总额的</w:t>
      </w:r>
      <w:r>
        <w:rPr>
          <w:u w:val="single"/>
        </w:rPr>
        <w:t xml:space="preserve">    </w:t>
      </w:r>
      <w:r>
        <w:rPr>
          <w:sz w:val="24"/>
          <w:color w:val="000000"/>
          <w:shd w:fill="FFFFFF" w:val="clear"/>
        </w:rPr>
        <w:t>比例向甲方支付违约金；逾期</w:t>
      </w:r>
      <w:r>
        <w:rPr>
          <w:u w:val="single"/>
        </w:rPr>
        <w:t xml:space="preserve">    </w:t>
      </w:r>
      <w:r>
        <w:rPr>
          <w:sz w:val="24"/>
          <w:color w:val="000000"/>
          <w:shd w:fill="FFFFFF" w:val="clear"/>
        </w:rPr>
        <w:t>日以上时，甲方有权终止合同，由此造成甲方的经济损失由乙方承担。违约金不足以弥补损失的，乙方应按全额赔偿。</w:t>
      </w:r>
    </w:p>
    <w:p>
      <w:pPr>
        <w:pStyle w:val="null3"/>
      </w:pPr>
      <w:r>
        <w:rPr>
          <w:sz w:val="21"/>
          <w:color w:val="000000"/>
          <w:shd w:fill="FFFFFF" w:val="clear"/>
        </w:rPr>
        <w:t>（二）</w:t>
      </w:r>
      <w:r>
        <w:rPr>
          <w:sz w:val="24"/>
          <w:color w:val="000000"/>
          <w:shd w:fill="FFFFFF" w:val="clear"/>
        </w:rPr>
        <w:t>甲方未按要求履行合同义务时，或无故拖延验收、付款时，甲方须向乙方支付滞纳金，标准为每日按逾期应付款总额的</w:t>
      </w:r>
      <w:r>
        <w:rPr>
          <w:u w:val="single"/>
        </w:rPr>
        <w:t xml:space="preserve">    </w:t>
      </w:r>
      <w:r>
        <w:rPr>
          <w:sz w:val="24"/>
          <w:color w:val="000000"/>
          <w:shd w:fill="FFFFFF" w:val="clear"/>
        </w:rPr>
        <w:t>累计。</w:t>
      </w:r>
    </w:p>
    <w:p>
      <w:pPr>
        <w:pStyle w:val="null3"/>
      </w:pPr>
      <w:r>
        <w:rPr>
          <w:sz w:val="24"/>
          <w:b/>
          <w:color w:val="000000"/>
          <w:shd w:fill="FFFFFF" w:val="clear"/>
        </w:rPr>
        <w:t>九、</w:t>
      </w:r>
      <w:r>
        <w:rPr>
          <w:sz w:val="24"/>
          <w:b/>
          <w:color w:val="000000"/>
          <w:shd w:fill="FFFFFF" w:val="clear"/>
        </w:rPr>
        <w:t>异议的时间和方法：</w:t>
      </w:r>
    </w:p>
    <w:p>
      <w:pPr>
        <w:pStyle w:val="null3"/>
      </w:pPr>
      <w:r>
        <w:rPr>
          <w:sz w:val="21"/>
          <w:color w:val="000000"/>
          <w:shd w:fill="FFFFFF" w:val="clear"/>
        </w:rPr>
        <w:t>（一）</w:t>
      </w:r>
      <w:r>
        <w:rPr>
          <w:sz w:val="24"/>
          <w:color w:val="000000"/>
          <w:shd w:fill="FFFFFF" w:val="clear"/>
        </w:rPr>
        <w:t>甲方有异议时，应</w:t>
      </w:r>
      <w:r>
        <w:rPr>
          <w:u w:val="single"/>
        </w:rPr>
        <w:t xml:space="preserve">     </w:t>
      </w:r>
      <w:r>
        <w:rPr>
          <w:sz w:val="24"/>
          <w:color w:val="000000"/>
          <w:shd w:fill="FFFFFF" w:val="clear"/>
        </w:rPr>
        <w:t>天内向乙方提出书面异议。</w:t>
      </w:r>
    </w:p>
    <w:p>
      <w:pPr>
        <w:pStyle w:val="null3"/>
      </w:pPr>
      <w:r>
        <w:rPr>
          <w:sz w:val="21"/>
          <w:color w:val="000000"/>
          <w:shd w:fill="FFFFFF" w:val="clear"/>
        </w:rPr>
        <w:t>（二）</w:t>
      </w:r>
      <w:r>
        <w:rPr>
          <w:sz w:val="24"/>
          <w:color w:val="000000"/>
          <w:shd w:fill="FFFFFF" w:val="clear"/>
        </w:rPr>
        <w:t>乙方在接到甲方书面异议后，应在</w:t>
      </w:r>
      <w:r>
        <w:rPr>
          <w:sz w:val="24"/>
          <w:color w:val="000000"/>
          <w:shd w:fill="FFFFFF" w:val="clear"/>
        </w:rPr>
        <w:t>3</w:t>
      </w:r>
      <w:r>
        <w:rPr>
          <w:sz w:val="24"/>
          <w:color w:val="000000"/>
          <w:shd w:fill="FFFFFF" w:val="clear"/>
        </w:rPr>
        <w:t>天内负责处理并函复甲方处理情况，否则，即视为默认甲方提出的异议和处理意见。</w:t>
      </w:r>
    </w:p>
    <w:p>
      <w:pPr>
        <w:pStyle w:val="null3"/>
      </w:pPr>
      <w:r>
        <w:rPr>
          <w:sz w:val="21"/>
          <w:color w:val="000000"/>
          <w:shd w:fill="FFFFFF" w:val="clear"/>
        </w:rPr>
        <w:t>（三）</w:t>
      </w:r>
      <w:r>
        <w:rPr>
          <w:sz w:val="24"/>
          <w:color w:val="000000"/>
          <w:shd w:fill="FFFFFF" w:val="clear"/>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pPr>
      <w:r>
        <w:rPr>
          <w:sz w:val="24"/>
          <w:b/>
          <w:color w:val="000000"/>
          <w:shd w:fill="FFFFFF" w:val="clear"/>
        </w:rPr>
        <w:t>十、</w:t>
      </w:r>
      <w:r>
        <w:rPr>
          <w:sz w:val="24"/>
          <w:b/>
          <w:color w:val="000000"/>
          <w:shd w:fill="FFFFFF" w:val="clear"/>
        </w:rPr>
        <w:t>争议的解决：</w:t>
      </w:r>
    </w:p>
    <w:p>
      <w:pPr>
        <w:pStyle w:val="null3"/>
      </w:pPr>
      <w:r>
        <w:rPr>
          <w:sz w:val="21"/>
          <w:color w:val="000000"/>
          <w:shd w:fill="FFFFFF" w:val="clear"/>
        </w:rPr>
        <w:t>（一）</w:t>
      </w:r>
      <w:r>
        <w:rPr>
          <w:sz w:val="24"/>
          <w:color w:val="000000"/>
          <w:shd w:fill="FFFFFF" w:val="clear"/>
        </w:rPr>
        <w:t>合同履行过程中发生的任何争议，如双方未能通过友好协商解决，应向佛山市有管辖权的人民法院提起诉讼。</w:t>
      </w:r>
    </w:p>
    <w:p>
      <w:pPr>
        <w:pStyle w:val="null3"/>
      </w:pPr>
      <w:r>
        <w:rPr>
          <w:sz w:val="21"/>
          <w:color w:val="000000"/>
          <w:shd w:fill="FFFFFF" w:val="clear"/>
        </w:rPr>
        <w:t>（二）</w:t>
      </w:r>
      <w:r>
        <w:rPr>
          <w:sz w:val="24"/>
          <w:color w:val="000000"/>
          <w:shd w:fill="FFFFFF" w:val="clear"/>
        </w:rPr>
        <w:t>法院审理期间，除提交法院审理的事项外，其它无争议的事项和条款仍应继续履行。</w:t>
      </w:r>
    </w:p>
    <w:p>
      <w:pPr>
        <w:pStyle w:val="null3"/>
      </w:pPr>
      <w:r>
        <w:rPr>
          <w:sz w:val="24"/>
          <w:b/>
          <w:color w:val="000000"/>
          <w:shd w:fill="FFFFFF" w:val="clear"/>
        </w:rPr>
        <w:t>十一、</w:t>
      </w:r>
      <w:r>
        <w:rPr>
          <w:sz w:val="24"/>
          <w:b/>
          <w:color w:val="000000"/>
          <w:shd w:fill="FFFFFF" w:val="clear"/>
        </w:rPr>
        <w:t>不可抗力：</w:t>
      </w:r>
    </w:p>
    <w:p>
      <w:pPr>
        <w:pStyle w:val="null3"/>
        <w:ind w:firstLine="420"/>
      </w:pPr>
      <w:r>
        <w:rPr>
          <w:sz w:val="24"/>
          <w:color w:val="000000"/>
          <w:shd w:fill="FFFFFF" w:val="clear"/>
        </w:rPr>
        <w:t>任何一方由于不可抗力原因不能履行合同时，应在不可抗力事件结束后</w:t>
      </w:r>
      <w:r>
        <w:rPr>
          <w:sz w:val="24"/>
          <w:color w:val="000000"/>
          <w:shd w:fill="FFFFFF" w:val="clear"/>
        </w:rPr>
        <w:t>48</w:t>
      </w:r>
      <w:r>
        <w:rPr>
          <w:sz w:val="24"/>
          <w:color w:val="000000"/>
          <w:shd w:fill="FFFFFF" w:val="clear"/>
        </w:rPr>
        <w:t>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color w:val="000000"/>
          <w:shd w:fill="FFFFFF" w:val="clear"/>
        </w:rPr>
        <w:t>十二、</w:t>
      </w:r>
      <w:r>
        <w:rPr>
          <w:sz w:val="24"/>
          <w:b/>
          <w:color w:val="000000"/>
          <w:shd w:fill="FFFFFF" w:val="clear"/>
        </w:rPr>
        <w:t>税费：</w:t>
      </w:r>
    </w:p>
    <w:p>
      <w:pPr>
        <w:pStyle w:val="null3"/>
      </w:pPr>
      <w:r>
        <w:rPr>
          <w:sz w:val="21"/>
          <w:color w:val="000000"/>
          <w:shd w:fill="FFFFFF" w:val="clear"/>
        </w:rPr>
        <w:t>（一）</w:t>
      </w:r>
      <w:r>
        <w:rPr>
          <w:sz w:val="24"/>
          <w:color w:val="000000"/>
          <w:shd w:fill="FFFFFF" w:val="clear"/>
        </w:rPr>
        <w:t>本合同实施过程中所发生的一切税费及不可预见费均由乙方承担。</w:t>
      </w:r>
    </w:p>
    <w:p>
      <w:pPr>
        <w:pStyle w:val="null3"/>
      </w:pPr>
      <w:r>
        <w:rPr>
          <w:sz w:val="21"/>
          <w:color w:val="000000"/>
          <w:shd w:fill="FFFFFF" w:val="clear"/>
        </w:rPr>
        <w:t>（二）</w:t>
      </w:r>
      <w:r>
        <w:rPr>
          <w:sz w:val="24"/>
          <w:color w:val="000000"/>
          <w:shd w:fill="FFFFFF" w:val="clear"/>
        </w:rPr>
        <w:t>乙方依照税务规章优先在合同履约地开具发票及纳税，咨询：</w:t>
      </w:r>
      <w:r>
        <w:rPr>
          <w:sz w:val="24"/>
          <w:color w:val="000000"/>
          <w:shd w:fill="FFFFFF" w:val="clear"/>
        </w:rPr>
        <w:t>0757-12366</w:t>
      </w:r>
      <w:r>
        <w:rPr>
          <w:sz w:val="24"/>
          <w:color w:val="000000"/>
          <w:shd w:fill="FFFFFF" w:val="clear"/>
        </w:rPr>
        <w:t>。</w:t>
      </w:r>
    </w:p>
    <w:p>
      <w:pPr>
        <w:pStyle w:val="null3"/>
      </w:pPr>
      <w:r>
        <w:rPr>
          <w:sz w:val="24"/>
          <w:b/>
          <w:color w:val="000000"/>
          <w:shd w:fill="FFFFFF" w:val="clear"/>
        </w:rPr>
        <w:t>十三、</w:t>
      </w:r>
      <w:r>
        <w:rPr>
          <w:sz w:val="24"/>
          <w:b/>
          <w:color w:val="000000"/>
          <w:shd w:fill="FFFFFF" w:val="clear"/>
        </w:rPr>
        <w:t>合同生效与合同备案：</w:t>
      </w:r>
    </w:p>
    <w:p>
      <w:pPr>
        <w:pStyle w:val="null3"/>
      </w:pPr>
      <w:r>
        <w:rPr>
          <w:sz w:val="21"/>
          <w:color w:val="000000"/>
          <w:shd w:fill="FFFFFF" w:val="clear"/>
        </w:rPr>
        <w:t>（一）</w:t>
      </w:r>
      <w:r>
        <w:rPr>
          <w:sz w:val="24"/>
          <w:color w:val="000000"/>
          <w:shd w:fill="FFFFFF" w:val="clear"/>
        </w:rPr>
        <w:t>本合同在甲乙双方法人代表或其授权代表签字盖章后生效。</w:t>
      </w:r>
    </w:p>
    <w:p>
      <w:pPr>
        <w:pStyle w:val="null3"/>
      </w:pPr>
      <w:r>
        <w:rPr>
          <w:sz w:val="21"/>
          <w:color w:val="000000"/>
          <w:shd w:fill="FFFFFF" w:val="clear"/>
        </w:rPr>
        <w:t>（二）</w:t>
      </w:r>
      <w:r>
        <w:rPr>
          <w:sz w:val="24"/>
          <w:color w:val="000000"/>
          <w:shd w:fill="FFFFFF" w:val="clear"/>
        </w:rPr>
        <w:t>自采购合同签订之日起</w:t>
      </w:r>
      <w:r>
        <w:rPr>
          <w:sz w:val="24"/>
          <w:color w:val="000000"/>
          <w:shd w:fill="FFFFFF" w:val="clear"/>
        </w:rPr>
        <w:t>7</w:t>
      </w:r>
      <w:r>
        <w:rPr>
          <w:sz w:val="24"/>
          <w:color w:val="000000"/>
          <w:shd w:fill="FFFFFF" w:val="clear"/>
        </w:rPr>
        <w:t>个工作日内，由甲方按照有关规定将采购合同副本报同级人民政府财政部门（政府采购管理部门）备案。</w:t>
      </w:r>
    </w:p>
    <w:p>
      <w:pPr>
        <w:pStyle w:val="null3"/>
      </w:pPr>
      <w:r>
        <w:rPr>
          <w:sz w:val="24"/>
          <w:b/>
          <w:color w:val="000000"/>
          <w:shd w:fill="FFFFFF" w:val="clear"/>
        </w:rPr>
        <w:t>十四、</w:t>
      </w:r>
      <w:r>
        <w:rPr>
          <w:sz w:val="24"/>
          <w:b/>
          <w:color w:val="000000"/>
          <w:shd w:fill="FFFFFF" w:val="clear"/>
        </w:rPr>
        <w:t>乙方应提供的资料内容：</w:t>
      </w:r>
    </w:p>
    <w:p>
      <w:pPr>
        <w:pStyle w:val="null3"/>
        <w:ind w:left="510"/>
      </w:pPr>
      <w:r>
        <w:rPr>
          <w:u w:val="single"/>
        </w:rPr>
        <w:t xml:space="preserve">                                          </w:t>
      </w:r>
      <w:r>
        <w:rPr>
          <w:u w:val="single"/>
        </w:rPr>
        <w:t xml:space="preserve">      </w:t>
      </w:r>
      <w:r>
        <w:rPr>
          <w:u w:val="single"/>
        </w:rPr>
        <w:t xml:space="preserve">            </w:t>
      </w:r>
      <w:r>
        <w:rPr>
          <w:sz w:val="24"/>
          <w:color w:val="000000"/>
          <w:shd w:fill="FFFFFF" w:val="clear"/>
        </w:rPr>
        <w:t>。</w:t>
      </w:r>
    </w:p>
    <w:p>
      <w:pPr>
        <w:pStyle w:val="null3"/>
      </w:pPr>
      <w:r>
        <w:rPr>
          <w:sz w:val="24"/>
          <w:b/>
          <w:color w:val="000000"/>
          <w:shd w:fill="FFFFFF" w:val="clear"/>
        </w:rPr>
        <w:t>十五、</w:t>
      </w:r>
      <w:r>
        <w:rPr>
          <w:sz w:val="24"/>
          <w:b/>
          <w:color w:val="000000"/>
          <w:shd w:fill="FFFFFF" w:val="clear"/>
        </w:rPr>
        <w:t>关于政府采购合同融资</w:t>
      </w:r>
    </w:p>
    <w:p>
      <w:pPr>
        <w:pStyle w:val="null3"/>
      </w:pPr>
      <w:r>
        <w:rPr>
          <w:sz w:val="21"/>
          <w:color w:val="000000"/>
          <w:shd w:fill="FFFFFF" w:val="clear"/>
        </w:rPr>
        <w:t>（一）</w:t>
      </w:r>
      <w:r>
        <w:rPr>
          <w:sz w:val="24"/>
          <w:color w:val="000000"/>
        </w:rPr>
        <w:t>乙方是否已申请政府采购合同融资：</w:t>
      </w:r>
      <w:r>
        <w:rPr>
          <w:sz w:val="24"/>
          <w:color w:val="000000"/>
          <w:u w:val="single"/>
        </w:rPr>
        <w:t xml:space="preserve">  </w:t>
      </w:r>
      <w:r>
        <w:rPr>
          <w:sz w:val="24"/>
          <w:color w:val="000000"/>
          <w:u w:val="single"/>
        </w:rPr>
        <w:t>是</w:t>
      </w:r>
      <w:r>
        <w:rPr>
          <w:sz w:val="24"/>
          <w:color w:val="000000"/>
          <w:u w:val="single"/>
        </w:rPr>
        <w:t xml:space="preserve">  / </w:t>
      </w:r>
      <w:r>
        <w:rPr>
          <w:sz w:val="24"/>
          <w:color w:val="000000"/>
          <w:u w:val="single"/>
        </w:rPr>
        <w:t xml:space="preserve">否  </w:t>
      </w:r>
      <w:r>
        <w:rPr>
          <w:sz w:val="24"/>
          <w:color w:val="000000"/>
        </w:rPr>
        <w:t>；</w:t>
      </w:r>
    </w:p>
    <w:p>
      <w:pPr>
        <w:pStyle w:val="null3"/>
      </w:pPr>
      <w:r>
        <w:rPr>
          <w:sz w:val="21"/>
          <w:color w:val="000000"/>
          <w:shd w:fill="FFFFFF" w:val="clear"/>
        </w:rPr>
        <w:t>（二）</w:t>
      </w:r>
      <w:r>
        <w:rPr>
          <w:sz w:val="24"/>
          <w:color w:val="000000"/>
        </w:rPr>
        <w:t>融资银行及联系方式：</w:t>
      </w:r>
      <w:r>
        <w:rPr>
          <w:u w:val="single"/>
        </w:rPr>
        <w:t xml:space="preserve">                                          </w:t>
      </w:r>
      <w:r>
        <w:rPr>
          <w:sz w:val="24"/>
          <w:color w:val="000000"/>
        </w:rPr>
        <w:t>。</w:t>
      </w:r>
    </w:p>
    <w:p>
      <w:pPr>
        <w:pStyle w:val="null3"/>
      </w:pPr>
      <w:r>
        <w:rPr>
          <w:sz w:val="21"/>
          <w:color w:val="000000"/>
          <w:shd w:fill="FFFFFF" w:val="clear"/>
        </w:rPr>
        <w:t>（三）</w:t>
      </w:r>
      <w:r>
        <w:rPr>
          <w:sz w:val="24"/>
          <w:color w:val="000000"/>
        </w:rPr>
        <w:t>若乙方已申请政府采购合同融资，其在本合同中登记的银行</w:t>
      </w:r>
      <w:r>
        <w:rPr>
          <w:sz w:val="24"/>
          <w:color w:val="000000"/>
        </w:rPr>
        <w:t>账</w:t>
      </w:r>
      <w:r>
        <w:rPr>
          <w:sz w:val="24"/>
          <w:color w:val="000000"/>
        </w:rPr>
        <w:t>号应与金融机构签订融资协议中约定的融资回款账户一致，此账户作为政府采购融资合同资金回款的唯一账户，未获得融资银行同意，乙方不得随意变更</w:t>
      </w:r>
      <w:r>
        <w:rPr>
          <w:sz w:val="24"/>
          <w:b/>
          <w:color w:val="000000"/>
        </w:rPr>
        <w:t>。</w:t>
      </w:r>
    </w:p>
    <w:p>
      <w:pPr>
        <w:pStyle w:val="null3"/>
      </w:pPr>
      <w:r>
        <w:rPr>
          <w:sz w:val="24"/>
          <w:b/>
          <w:color w:val="000000"/>
          <w:shd w:fill="FFFFFF" w:val="clear"/>
        </w:rPr>
        <w:t>十六、</w:t>
      </w:r>
      <w:r>
        <w:rPr>
          <w:sz w:val="24"/>
          <w:b/>
          <w:color w:val="000000"/>
          <w:shd w:fill="FFFFFF" w:val="clear"/>
        </w:rPr>
        <w:t>其它：</w:t>
      </w:r>
    </w:p>
    <w:p>
      <w:pPr>
        <w:pStyle w:val="null3"/>
      </w:pPr>
      <w:r>
        <w:rPr>
          <w:sz w:val="21"/>
          <w:color w:val="000000"/>
          <w:shd w:fill="FFFFFF" w:val="clear"/>
        </w:rPr>
        <w:t>（一）</w:t>
      </w:r>
      <w:r>
        <w:rPr>
          <w:sz w:val="24"/>
          <w:color w:val="000000"/>
          <w:shd w:fill="FFFFFF" w:val="clear"/>
        </w:rPr>
        <w:t>所有经一方或双方签署确认的文件（包括会议纪要、补充协议、往来信函）、采购文件、要约文件和响应承诺文件、合同附件及</w:t>
      </w:r>
      <w:r>
        <w:rPr>
          <w:sz w:val="24"/>
          <w:color w:val="000000"/>
        </w:rPr>
        <w:t>中标（成交）通知书</w:t>
      </w:r>
      <w:r>
        <w:rPr>
          <w:sz w:val="24"/>
          <w:color w:val="000000"/>
          <w:shd w:fill="FFFFFF" w:val="clear"/>
        </w:rPr>
        <w:t>均为本合同不可分割的有效组成部分，与本合同具有同等的法律效力和履约义务，其缔约生效日期为有效签署或盖章确认之日期。</w:t>
      </w:r>
    </w:p>
    <w:p>
      <w:pPr>
        <w:pStyle w:val="null3"/>
      </w:pPr>
      <w:r>
        <w:rPr>
          <w:sz w:val="21"/>
          <w:color w:val="000000"/>
          <w:shd w:fill="FFFFFF" w:val="clear"/>
        </w:rPr>
        <w:t>（二）</w:t>
      </w:r>
      <w:r>
        <w:rPr>
          <w:sz w:val="24"/>
          <w:color w:val="000000"/>
        </w:rPr>
        <w:t>如一方（包括联系人）地址、电话、传真号码有变更，应在变更后</w:t>
      </w:r>
      <w:r>
        <w:rPr>
          <w:sz w:val="24"/>
          <w:color w:val="000000"/>
        </w:rPr>
        <w:t>3</w:t>
      </w:r>
      <w:r>
        <w:rPr>
          <w:sz w:val="24"/>
          <w:color w:val="000000"/>
        </w:rPr>
        <w:t>个工作日内书面通知对方联系人或负责人，否则，因此造成的损失由未履行通知义务方承担相应责任。</w:t>
      </w:r>
    </w:p>
    <w:p>
      <w:pPr>
        <w:pStyle w:val="null3"/>
      </w:pPr>
      <w:r>
        <w:rPr>
          <w:sz w:val="21"/>
          <w:color w:val="000000"/>
          <w:shd w:fill="FFFFFF" w:val="clear"/>
        </w:rPr>
        <w:t>（三）</w:t>
      </w:r>
      <w:r>
        <w:rPr>
          <w:sz w:val="24"/>
          <w:color w:val="000000"/>
          <w:shd w:fill="FFFFFF" w:val="clear"/>
        </w:rPr>
        <w:t>未经甲方书面同意，乙方不得擅自向第三方转让其主体性和关键性合同义务。</w:t>
      </w:r>
    </w:p>
    <w:p>
      <w:pPr>
        <w:pStyle w:val="null3"/>
      </w:pPr>
      <w:r>
        <w:rPr>
          <w:sz w:val="21"/>
          <w:color w:val="000000"/>
          <w:shd w:fill="FFFFFF" w:val="clear"/>
        </w:rPr>
        <w:t>（四）</w:t>
      </w:r>
      <w:r>
        <w:rPr>
          <w:sz w:val="24"/>
          <w:color w:val="000000"/>
          <w:shd w:fill="FFFFFF" w:val="clear"/>
        </w:rPr>
        <w:t>本合同一式</w:t>
      </w:r>
      <w:r>
        <w:rPr>
          <w:u w:val="single"/>
        </w:rPr>
        <w:t xml:space="preserve">    </w:t>
      </w:r>
      <w:r>
        <w:rPr>
          <w:sz w:val="24"/>
          <w:color w:val="000000"/>
          <w:shd w:fill="FFFFFF" w:val="clear"/>
        </w:rPr>
        <w:t>份，甲方执</w:t>
      </w:r>
      <w:r>
        <w:rPr>
          <w:u w:val="single"/>
        </w:rPr>
        <w:t xml:space="preserve">   </w:t>
      </w:r>
      <w:r>
        <w:rPr>
          <w:sz w:val="24"/>
          <w:color w:val="000000"/>
          <w:shd w:fill="FFFFFF" w:val="clear"/>
        </w:rPr>
        <w:t>份，乙方执</w:t>
      </w:r>
      <w:r>
        <w:rPr>
          <w:u w:val="single"/>
        </w:rPr>
        <w:t xml:space="preserve">   </w:t>
      </w:r>
      <w:r>
        <w:rPr>
          <w:sz w:val="24"/>
          <w:color w:val="000000"/>
          <w:shd w:fill="FFFFFF" w:val="clear"/>
        </w:rPr>
        <w:t>份。</w:t>
      </w:r>
    </w:p>
    <w:p>
      <w:pPr>
        <w:pStyle w:val="null3"/>
      </w:pPr>
      <w:r>
        <w:rPr>
          <w:sz w:val="21"/>
          <w:color w:val="000000"/>
          <w:shd w:fill="FFFFFF" w:val="clear"/>
        </w:rPr>
        <w:t>（五）</w:t>
      </w:r>
      <w:r>
        <w:rPr>
          <w:sz w:val="24"/>
          <w:color w:val="000000"/>
          <w:shd w:fill="FFFFFF" w:val="clear"/>
        </w:rPr>
        <w:t>本合同（含附件）共计</w:t>
      </w:r>
      <w:r>
        <w:rPr>
          <w:u w:val="single"/>
        </w:rPr>
        <w:t xml:space="preserve">    </w:t>
      </w:r>
      <w:r>
        <w:rPr>
          <w:sz w:val="24"/>
          <w:color w:val="000000"/>
          <w:shd w:fill="FFFFFF" w:val="clear"/>
        </w:rPr>
        <w:t>页，缺页之合同为无效合同。</w:t>
      </w:r>
    </w:p>
    <w:p>
      <w:pPr>
        <w:pStyle w:val="null3"/>
      </w:pPr>
      <w:r>
        <w:rPr>
          <w:sz w:val="21"/>
          <w:color w:val="000000"/>
          <w:shd w:fill="FFFFFF" w:val="clear"/>
        </w:rPr>
        <w:t>（六）</w:t>
      </w:r>
      <w:r>
        <w:rPr>
          <w:sz w:val="24"/>
          <w:color w:val="000000"/>
          <w:shd w:fill="FFFFFF" w:val="clear"/>
        </w:rPr>
        <w:t>本合同签约履约地点：广东省佛山市。</w:t>
      </w:r>
    </w:p>
    <w:p>
      <w:pPr>
        <w:pStyle w:val="null3"/>
      </w:pPr>
      <w:r>
        <w:rPr>
          <w:sz w:val="21"/>
          <w:color w:val="000000"/>
          <w:shd w:fill="FFFFFF" w:val="clear"/>
        </w:rPr>
        <w:t>（七）</w:t>
      </w:r>
      <w:r>
        <w:rPr>
          <w:sz w:val="24"/>
          <w:color w:val="000000"/>
        </w:rPr>
        <w:t>本合同所指</w:t>
      </w:r>
      <w:r>
        <w:rPr>
          <w:sz w:val="24"/>
          <w:color w:val="000000"/>
        </w:rPr>
        <w:t>“</w:t>
      </w:r>
      <w:r>
        <w:rPr>
          <w:sz w:val="24"/>
          <w:color w:val="000000"/>
        </w:rPr>
        <w:t>书面通知</w:t>
      </w:r>
      <w:r>
        <w:rPr>
          <w:sz w:val="24"/>
          <w:color w:val="000000"/>
        </w:rPr>
        <w:t>”</w:t>
      </w:r>
      <w:r>
        <w:rPr>
          <w:sz w:val="24"/>
          <w:color w:val="000000"/>
        </w:rPr>
        <w:t>包括但不限于短信、电子邮件等数据电文的通知形式，到达时间以民事诉讼法的规定为准，但进行书面通知前后，通知方均有义务电话确认通知事项。</w:t>
      </w:r>
    </w:p>
    <w:p>
      <w:pPr>
        <w:pStyle w:val="null3"/>
      </w:pPr>
      <w:r>
        <w:rPr>
          <w:sz w:val="21"/>
          <w:color w:val="000000"/>
          <w:shd w:fill="FFFFFF" w:val="clear"/>
        </w:rPr>
        <w:t>（八）</w:t>
      </w:r>
      <w:r>
        <w:rPr>
          <w:sz w:val="24"/>
          <w:color w:val="000000"/>
          <w:shd w:fill="FFFFFF" w:val="clear"/>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shd w:fill="FFFFFF" w:val="clear"/>
              </w:rPr>
              <w:t>甲方（盖章）：</w:t>
            </w:r>
          </w:p>
          <w:p>
            <w:pPr>
              <w:pStyle w:val="null3"/>
            </w:pPr>
            <w:r>
              <w:rPr>
                <w:sz w:val="21"/>
                <w:color w:val="000000"/>
                <w:shd w:fill="FFFFFF" w:val="clear"/>
              </w:rPr>
              <w:t>代表：</w:t>
            </w:r>
            <w:r>
              <w:rPr>
                <w:sz w:val="19"/>
                <w:u w:val="single"/>
              </w:rPr>
              <w:t xml:space="preserve">                              </w:t>
            </w:r>
            <w:r>
              <w:rPr>
                <w:sz w:val="19"/>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shd w:fill="FFFFFF" w:val="clear"/>
              </w:rPr>
              <w:t>乙方（盖章）：</w:t>
            </w:r>
          </w:p>
          <w:p>
            <w:pPr>
              <w:pStyle w:val="null3"/>
            </w:pPr>
            <w:r>
              <w:rPr>
                <w:sz w:val="21"/>
                <w:color w:val="000000"/>
                <w:shd w:fill="FFFFFF" w:val="clear"/>
              </w:rPr>
              <w:t>代表：</w:t>
            </w:r>
            <w:r>
              <w:rPr>
                <w:sz w:val="19"/>
                <w:u w:val="single"/>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shd w:fill="FFFFFF" w:val="clear"/>
              </w:rPr>
              <w:t>收款方、开票方须与乙方一致，专户为：</w:t>
            </w:r>
          </w:p>
          <w:p>
            <w:pPr>
              <w:pStyle w:val="null3"/>
            </w:pPr>
            <w:r>
              <w:rPr>
                <w:sz w:val="21"/>
                <w:color w:val="000000"/>
                <w:shd w:fill="FFFFFF" w:val="clear"/>
              </w:rPr>
              <w:t>开户名称：</w:t>
            </w:r>
          </w:p>
          <w:p>
            <w:pPr>
              <w:pStyle w:val="null3"/>
            </w:pPr>
            <w:r>
              <w:rPr>
                <w:sz w:val="21"/>
                <w:color w:val="000000"/>
                <w:shd w:fill="FFFFFF" w:val="clear"/>
              </w:rPr>
              <w:t>银行账号：</w:t>
            </w:r>
          </w:p>
          <w:p>
            <w:pPr>
              <w:pStyle w:val="null3"/>
            </w:pPr>
            <w:r>
              <w:rPr>
                <w:sz w:val="21"/>
                <w:color w:val="000000"/>
                <w:shd w:fill="FFFFFF" w:val="clear"/>
              </w:rPr>
              <w:t>开</w:t>
            </w:r>
            <w:r>
              <w:rPr>
                <w:sz w:val="19"/>
              </w:rPr>
              <w:t xml:space="preserve"> </w:t>
            </w:r>
            <w:r>
              <w:rPr>
                <w:sz w:val="21"/>
                <w:color w:val="000000"/>
                <w:shd w:fill="FFFFFF" w:val="clear"/>
              </w:rPr>
              <w:t>户</w:t>
            </w:r>
            <w:r>
              <w:rPr>
                <w:sz w:val="19"/>
              </w:rPr>
              <w:t xml:space="preserve"> </w:t>
            </w:r>
            <w:r>
              <w:rPr>
                <w:sz w:val="21"/>
                <w:color w:val="000000"/>
                <w:shd w:fill="FFFFFF" w:val="clear"/>
              </w:rPr>
              <w:t>行：</w:t>
            </w:r>
          </w:p>
        </w:tc>
      </w:tr>
    </w:tbl>
    <w:p>
      <w:pPr>
        <w:pStyle w:val="null3"/>
      </w:pPr>
      <w:r>
        <w:rPr>
          <w:sz w:val="24"/>
          <w:b/>
          <w:color w:val="000000"/>
          <w:shd w:fill="FFFFFF" w:val="clear"/>
        </w:rPr>
        <w:t>合同附件清单：</w:t>
      </w:r>
    </w:p>
    <w:p>
      <w:pPr>
        <w:pStyle w:val="null3"/>
        <w:jc w:val="both"/>
      </w:pPr>
      <w:r>
        <w:rPr>
          <w:sz w:val="21"/>
          <w:b/>
          <w:color w:val="000000"/>
          <w:shd w:fill="FFFFFF" w:val="clear"/>
        </w:rPr>
        <w:t>附件一、《报价清单明细表》</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440601-2024-02171</w:t>
      </w:r>
    </w:p>
    <w:p>
      <w:pPr>
        <w:pStyle w:val="null3"/>
        <w:jc w:val="center"/>
        <w:outlineLvl w:val="3"/>
      </w:pPr>
      <w:r>
        <w:rPr>
          <w:sz w:val="24"/>
          <w:b/>
        </w:rPr>
        <w:t>采购项目编号：</w:t>
      </w:r>
      <w:r>
        <w:rPr>
          <w:sz w:val="24"/>
          <w:b/>
        </w:rPr>
        <w:t>GDZC—24GZ075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一院两区信息化建设(二次)</w:t>
      </w:r>
      <w:r>
        <w:rPr>
          <w:u w:val="single"/>
        </w:rPr>
        <w:t>”</w:t>
      </w:r>
      <w:r>
        <w:rPr/>
        <w:t>项目的招标[采购项目编号为：</w:t>
      </w:r>
      <w:r>
        <w:rPr>
          <w:u w:val="single"/>
        </w:rPr>
        <w:t>GDZC—24GZ075</w:t>
      </w:r>
      <w:r>
        <w:rPr/>
        <w:t>]，我方愿参与投标。</w:t>
      </w:r>
    </w:p>
    <w:p>
      <w:pPr>
        <w:pStyle w:val="null3"/>
        <w:ind w:firstLine="480"/>
      </w:pPr>
      <w:r>
        <w:rPr/>
        <w:t>我方确认收到贵方提供的</w:t>
      </w:r>
      <w:r>
        <w:rPr>
          <w:u w:val="single"/>
        </w:rPr>
        <w:t>“</w:t>
      </w:r>
      <w:r>
        <w:rPr>
          <w:u w:val="single"/>
        </w:rPr>
        <w:t>一院两区信息化建设(二次)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一院两区信息化建设(二次)</w:t>
      </w:r>
      <w:r>
        <w:rPr/>
        <w:t>”项目采购[采购项目编号为</w:t>
      </w:r>
      <w:r>
        <w:rPr/>
        <w:t>GDZC—24GZ075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佛山市第二人民医院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一院两区信息化建设(二次)</w:t>
      </w:r>
      <w:r>
        <w:rPr/>
        <w:t>招标中获中标（采购项目编号：</w:t>
      </w:r>
      <w:r>
        <w:rPr/>
        <w:t>GDZC—24GZ075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一院两区信息化建设(二次)</w:t>
      </w:r>
      <w:r>
        <w:rPr/>
        <w:t>”项目（采购项目编号：</w:t>
      </w:r>
      <w:r>
        <w:rPr/>
        <w:t>GDZC—24GZ075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