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auto"/>
          <w:sz w:val="48"/>
          <w:szCs w:val="48"/>
          <w:highlight w:val="none"/>
        </w:rPr>
      </w:pPr>
      <w:bookmarkStart w:id="154" w:name="_GoBack"/>
    </w:p>
    <w:p>
      <w:pPr>
        <w:tabs>
          <w:tab w:val="left" w:pos="2880"/>
        </w:tabs>
        <w:spacing w:line="1600" w:lineRule="atLeast"/>
        <w:ind w:firstLine="1440" w:firstLineChars="200"/>
        <w:jc w:val="both"/>
        <w:rPr>
          <w:color w:val="auto"/>
          <w:sz w:val="72"/>
          <w:highlight w:val="none"/>
        </w:rPr>
      </w:pPr>
      <w:r>
        <w:rPr>
          <w:rFonts w:hint="eastAsia"/>
          <w:color w:val="auto"/>
          <w:sz w:val="72"/>
          <w:highlight w:val="none"/>
        </w:rPr>
        <w:t>南庄镇农村采购项目</w:t>
      </w:r>
    </w:p>
    <w:p>
      <w:pPr>
        <w:tabs>
          <w:tab w:val="left" w:pos="420"/>
          <w:tab w:val="left" w:pos="6660"/>
        </w:tabs>
        <w:spacing w:line="1600" w:lineRule="atLeast"/>
        <w:jc w:val="center"/>
        <w:rPr>
          <w:color w:val="auto"/>
          <w:sz w:val="72"/>
          <w:highlight w:val="none"/>
        </w:rPr>
      </w:pPr>
      <w:r>
        <w:rPr>
          <w:rFonts w:hint="eastAsia"/>
          <w:color w:val="auto"/>
          <w:sz w:val="72"/>
          <w:highlight w:val="none"/>
        </w:rPr>
        <w:t>公开竞投文件</w:t>
      </w:r>
    </w:p>
    <w:p>
      <w:pPr>
        <w:ind w:firstLine="210" w:firstLineChars="100"/>
        <w:jc w:val="center"/>
        <w:rPr>
          <w:rFonts w:hint="eastAsia"/>
          <w:color w:val="auto"/>
          <w:highlight w:val="none"/>
        </w:rPr>
      </w:pPr>
    </w:p>
    <w:p>
      <w:pPr>
        <w:ind w:firstLine="210" w:firstLineChars="100"/>
        <w:rPr>
          <w:rFonts w:hint="eastAsia"/>
          <w:color w:val="auto"/>
          <w:highlight w:val="none"/>
        </w:rPr>
      </w:pPr>
    </w:p>
    <w:p>
      <w:pPr>
        <w:ind w:firstLine="210" w:firstLineChars="100"/>
        <w:rPr>
          <w:rFonts w:hint="eastAsia"/>
          <w:color w:val="auto"/>
          <w:highlight w:val="none"/>
        </w:rPr>
      </w:pPr>
    </w:p>
    <w:p>
      <w:pPr>
        <w:ind w:firstLine="210" w:firstLineChars="100"/>
        <w:rPr>
          <w:rFonts w:hint="eastAsia"/>
          <w:color w:val="auto"/>
          <w:highlight w:val="none"/>
        </w:rPr>
      </w:pPr>
    </w:p>
    <w:p>
      <w:pPr>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rPr>
          <w:rFonts w:hint="eastAsia"/>
          <w:color w:val="auto"/>
          <w:highlight w:val="none"/>
        </w:rPr>
      </w:pPr>
    </w:p>
    <w:p>
      <w:pPr>
        <w:ind w:firstLine="280" w:firstLineChars="100"/>
        <w:rPr>
          <w:rFonts w:hint="eastAsia"/>
          <w:color w:val="auto"/>
          <w:sz w:val="28"/>
          <w:szCs w:val="28"/>
          <w:highlight w:val="none"/>
        </w:rPr>
      </w:pPr>
    </w:p>
    <w:p>
      <w:pPr>
        <w:spacing w:line="500" w:lineRule="exact"/>
        <w:ind w:left="2674" w:leftChars="603" w:hanging="1408" w:hangingChars="501"/>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项目名称：</w:t>
      </w:r>
      <w:r>
        <w:rPr>
          <w:rFonts w:hint="eastAsia" w:ascii="宋体" w:hAnsi="宋体" w:cs="宋体"/>
          <w:b/>
          <w:bCs/>
          <w:color w:val="auto"/>
          <w:sz w:val="28"/>
          <w:szCs w:val="28"/>
          <w:highlight w:val="none"/>
          <w:lang w:eastAsia="zh-CN"/>
        </w:rPr>
        <w:t>吉利竹甫村车辆停放管理服务</w:t>
      </w:r>
    </w:p>
    <w:p>
      <w:pPr>
        <w:spacing w:line="500" w:lineRule="exact"/>
        <w:ind w:left="2674" w:leftChars="603" w:hanging="1408" w:hangingChars="501"/>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eastAsia="zh-CN"/>
        </w:rPr>
        <w:t>GDZC-23JJ135</w:t>
      </w:r>
    </w:p>
    <w:p>
      <w:pPr>
        <w:spacing w:line="500" w:lineRule="exact"/>
        <w:jc w:val="center"/>
        <w:rPr>
          <w:rFonts w:hint="eastAsia"/>
          <w:b/>
          <w:bCs/>
          <w:color w:val="auto"/>
          <w:sz w:val="24"/>
          <w:highlight w:val="none"/>
        </w:rPr>
      </w:pPr>
    </w:p>
    <w:p>
      <w:pPr>
        <w:spacing w:line="500" w:lineRule="exact"/>
        <w:jc w:val="center"/>
        <w:rPr>
          <w:rFonts w:hint="eastAsia"/>
          <w:b/>
          <w:bCs/>
          <w:color w:val="auto"/>
          <w:sz w:val="24"/>
          <w:highlight w:val="none"/>
        </w:rPr>
      </w:pPr>
    </w:p>
    <w:p>
      <w:pPr>
        <w:pStyle w:val="6"/>
        <w:rPr>
          <w:rFonts w:hint="eastAsia"/>
          <w:b/>
          <w:bCs/>
          <w:color w:val="auto"/>
          <w:sz w:val="24"/>
          <w:highlight w:val="none"/>
        </w:rPr>
      </w:pPr>
    </w:p>
    <w:p>
      <w:pPr>
        <w:pStyle w:val="6"/>
        <w:rPr>
          <w:rFonts w:hint="eastAsia"/>
          <w:b/>
          <w:bCs/>
          <w:color w:val="auto"/>
          <w:sz w:val="24"/>
          <w:highlight w:val="none"/>
        </w:rPr>
      </w:pPr>
    </w:p>
    <w:p>
      <w:pPr>
        <w:ind w:firstLine="1265" w:firstLineChars="450"/>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lang w:eastAsia="zh-CN"/>
        </w:rPr>
        <w:t>招标人</w:t>
      </w:r>
      <w:r>
        <w:rPr>
          <w:rFonts w:hint="eastAsia" w:ascii="宋体" w:hAnsi="宋体"/>
          <w:b/>
          <w:color w:val="auto"/>
          <w:sz w:val="28"/>
          <w:szCs w:val="28"/>
          <w:highlight w:val="none"/>
        </w:rPr>
        <w:t>：</w:t>
      </w:r>
      <w:r>
        <w:rPr>
          <w:rFonts w:hint="eastAsia" w:ascii="宋体" w:hAnsi="宋体" w:cs="宋体"/>
          <w:b/>
          <w:bCs/>
          <w:color w:val="auto"/>
          <w:sz w:val="28"/>
          <w:szCs w:val="28"/>
          <w:highlight w:val="none"/>
          <w:lang w:eastAsia="zh-CN"/>
        </w:rPr>
        <w:t>佛山市禅城区南庄镇吉利村竹甫经济合作社</w:t>
      </w:r>
    </w:p>
    <w:p>
      <w:pPr>
        <w:rPr>
          <w:rFonts w:hint="eastAsia" w:ascii="宋体" w:hAnsi="宋体"/>
          <w:b/>
          <w:color w:val="auto"/>
          <w:sz w:val="28"/>
          <w:szCs w:val="28"/>
          <w:highlight w:val="none"/>
        </w:rPr>
      </w:pPr>
    </w:p>
    <w:p>
      <w:pPr>
        <w:ind w:firstLine="1265" w:firstLineChars="450"/>
        <w:rPr>
          <w:rFonts w:hint="eastAsia" w:ascii="宋体" w:hAnsi="宋体"/>
          <w:b/>
          <w:color w:val="auto"/>
          <w:sz w:val="28"/>
          <w:szCs w:val="28"/>
          <w:highlight w:val="none"/>
        </w:rPr>
      </w:pPr>
      <w:r>
        <w:rPr>
          <w:rFonts w:hint="eastAsia" w:ascii="宋体" w:hAnsi="宋体"/>
          <w:b/>
          <w:color w:val="auto"/>
          <w:sz w:val="28"/>
          <w:szCs w:val="28"/>
          <w:highlight w:val="none"/>
          <w:lang w:eastAsia="zh-CN"/>
        </w:rPr>
        <w:t>招标代理机构</w:t>
      </w:r>
      <w:r>
        <w:rPr>
          <w:rFonts w:hint="eastAsia" w:ascii="宋体" w:hAnsi="宋体"/>
          <w:b/>
          <w:color w:val="auto"/>
          <w:sz w:val="28"/>
          <w:szCs w:val="28"/>
          <w:highlight w:val="none"/>
        </w:rPr>
        <w:t>：广东中采招标有限公司</w:t>
      </w:r>
    </w:p>
    <w:p>
      <w:pPr>
        <w:rPr>
          <w:rFonts w:hint="eastAsia" w:ascii="宋体" w:hAnsi="宋体"/>
          <w:b/>
          <w:color w:val="auto"/>
          <w:sz w:val="28"/>
          <w:szCs w:val="28"/>
          <w:highlight w:val="none"/>
        </w:rPr>
      </w:pPr>
    </w:p>
    <w:p>
      <w:pPr>
        <w:spacing w:line="360" w:lineRule="auto"/>
        <w:jc w:val="center"/>
        <w:rPr>
          <w:rFonts w:hint="eastAsia" w:eastAsia="隶书"/>
          <w:b/>
          <w:bCs/>
          <w:color w:val="auto"/>
          <w:sz w:val="36"/>
          <w:highlight w:val="none"/>
        </w:rPr>
      </w:pPr>
    </w:p>
    <w:p>
      <w:pPr>
        <w:pStyle w:val="6"/>
        <w:rPr>
          <w:rFonts w:hint="eastAsia"/>
          <w:color w:val="auto"/>
          <w:highlight w:val="none"/>
        </w:rPr>
      </w:pPr>
    </w:p>
    <w:p>
      <w:pPr>
        <w:spacing w:line="360" w:lineRule="auto"/>
        <w:jc w:val="center"/>
        <w:rPr>
          <w:rFonts w:hint="eastAsia" w:eastAsia="隶书"/>
          <w:b/>
          <w:bCs/>
          <w:color w:val="auto"/>
          <w:sz w:val="36"/>
          <w:highlight w:val="none"/>
        </w:rPr>
      </w:pPr>
    </w:p>
    <w:p>
      <w:pPr>
        <w:spacing w:line="312" w:lineRule="auto"/>
        <w:jc w:val="center"/>
        <w:rPr>
          <w:rFonts w:hint="eastAsia" w:ascii="黑体" w:hAnsi="宋体" w:eastAsia="黑体"/>
          <w:b/>
          <w:bCs/>
          <w:color w:val="auto"/>
          <w:sz w:val="28"/>
          <w:highlight w:val="none"/>
        </w:rPr>
      </w:pPr>
      <w:r>
        <w:rPr>
          <w:rFonts w:hint="eastAsia" w:ascii="黑体" w:hAnsi="宋体" w:eastAsia="黑体"/>
          <w:b/>
          <w:bCs/>
          <w:color w:val="auto"/>
          <w:sz w:val="28"/>
          <w:highlight w:val="none"/>
        </w:rPr>
        <w:t>发布日期：</w:t>
      </w:r>
      <w:r>
        <w:rPr>
          <w:rFonts w:hint="eastAsia" w:ascii="黑体" w:hAnsi="宋体" w:eastAsia="黑体"/>
          <w:b/>
          <w:bCs/>
          <w:color w:val="auto"/>
          <w:sz w:val="28"/>
          <w:highlight w:val="none"/>
          <w:lang w:eastAsia="zh-CN"/>
        </w:rPr>
        <w:t>二〇二</w:t>
      </w:r>
      <w:r>
        <w:rPr>
          <w:rFonts w:hint="eastAsia" w:ascii="黑体" w:hAnsi="宋体" w:eastAsia="黑体"/>
          <w:b/>
          <w:bCs/>
          <w:color w:val="auto"/>
          <w:sz w:val="28"/>
          <w:highlight w:val="none"/>
          <w:lang w:val="en-US" w:eastAsia="zh-CN"/>
        </w:rPr>
        <w:t>四</w:t>
      </w:r>
      <w:r>
        <w:rPr>
          <w:rFonts w:hint="eastAsia" w:ascii="黑体" w:hAnsi="宋体" w:eastAsia="黑体"/>
          <w:b/>
          <w:bCs/>
          <w:color w:val="auto"/>
          <w:sz w:val="28"/>
          <w:highlight w:val="none"/>
        </w:rPr>
        <w:t>年</w:t>
      </w:r>
      <w:r>
        <w:rPr>
          <w:rFonts w:hint="eastAsia" w:ascii="黑体" w:hAnsi="宋体" w:eastAsia="黑体"/>
          <w:b/>
          <w:bCs/>
          <w:color w:val="auto"/>
          <w:sz w:val="28"/>
          <w:highlight w:val="none"/>
          <w:lang w:val="en-US" w:eastAsia="zh-CN"/>
        </w:rPr>
        <w:t>一</w:t>
      </w:r>
      <w:r>
        <w:rPr>
          <w:rFonts w:hint="eastAsia" w:ascii="黑体" w:hAnsi="宋体" w:eastAsia="黑体"/>
          <w:b/>
          <w:bCs/>
          <w:color w:val="auto"/>
          <w:sz w:val="28"/>
          <w:highlight w:val="none"/>
        </w:rPr>
        <w:t>月</w:t>
      </w:r>
    </w:p>
    <w:p>
      <w:pPr>
        <w:rPr>
          <w:rFonts w:hint="eastAsia" w:eastAsia="隶书"/>
          <w:b/>
          <w:bCs/>
          <w:color w:val="auto"/>
          <w:sz w:val="32"/>
          <w:szCs w:val="32"/>
          <w:highlight w:val="none"/>
          <w:lang w:val="en-US" w:eastAsia="zh-CN"/>
        </w:rPr>
      </w:pPr>
    </w:p>
    <w:p>
      <w:pPr>
        <w:pStyle w:val="6"/>
        <w:rPr>
          <w:rFonts w:hint="eastAsia" w:eastAsia="隶书"/>
          <w:b/>
          <w:bCs/>
          <w:color w:val="auto"/>
          <w:sz w:val="32"/>
          <w:szCs w:val="32"/>
          <w:highlight w:val="none"/>
          <w:lang w:val="en-US" w:eastAsia="zh-CN"/>
        </w:rPr>
      </w:pPr>
    </w:p>
    <w:p>
      <w:pPr>
        <w:rPr>
          <w:rFonts w:hint="eastAsia" w:eastAsia="隶书"/>
          <w:b/>
          <w:bCs/>
          <w:color w:val="auto"/>
          <w:sz w:val="32"/>
          <w:szCs w:val="32"/>
          <w:highlight w:val="none"/>
          <w:lang w:val="en-US" w:eastAsia="zh-CN"/>
        </w:rPr>
      </w:pPr>
    </w:p>
    <w:p>
      <w:pPr>
        <w:pStyle w:val="6"/>
        <w:rPr>
          <w:rFonts w:hint="eastAsia" w:eastAsia="隶书"/>
          <w:b/>
          <w:bCs/>
          <w:color w:val="auto"/>
          <w:sz w:val="32"/>
          <w:szCs w:val="32"/>
          <w:highlight w:val="none"/>
          <w:lang w:val="en-US" w:eastAsia="zh-CN"/>
        </w:rPr>
      </w:pPr>
    </w:p>
    <w:p>
      <w:pPr>
        <w:rPr>
          <w:rFonts w:hint="eastAsia" w:eastAsia="隶书"/>
          <w:b/>
          <w:bCs/>
          <w:color w:val="auto"/>
          <w:sz w:val="32"/>
          <w:szCs w:val="32"/>
          <w:highlight w:val="none"/>
          <w:lang w:val="en-US" w:eastAsia="zh-CN"/>
        </w:rPr>
      </w:pPr>
    </w:p>
    <w:p>
      <w:pPr>
        <w:pStyle w:val="6"/>
        <w:rPr>
          <w:rFonts w:hint="eastAsia" w:eastAsia="隶书"/>
          <w:b/>
          <w:bCs/>
          <w:color w:val="auto"/>
          <w:sz w:val="32"/>
          <w:szCs w:val="32"/>
          <w:highlight w:val="none"/>
          <w:lang w:val="en-US" w:eastAsia="zh-CN"/>
        </w:rPr>
      </w:pPr>
    </w:p>
    <w:p>
      <w:pPr>
        <w:spacing w:before="240" w:beforeLines="100"/>
        <w:jc w:val="center"/>
        <w:rPr>
          <w:rFonts w:hint="eastAsia" w:ascii="宋体" w:hAnsi="宋体"/>
          <w:b/>
          <w:color w:val="auto"/>
          <w:sz w:val="48"/>
          <w:szCs w:val="48"/>
          <w:highlight w:val="none"/>
        </w:rPr>
        <w:sectPr>
          <w:headerReference r:id="rId3" w:type="default"/>
          <w:pgSz w:w="11850" w:h="16783"/>
          <w:pgMar w:top="1134" w:right="1134" w:bottom="1134" w:left="1417" w:header="573" w:footer="584" w:gutter="0"/>
          <w:pgBorders>
            <w:top w:val="none" w:sz="0" w:space="0"/>
            <w:left w:val="none" w:sz="0" w:space="0"/>
            <w:bottom w:val="none" w:sz="0" w:space="0"/>
            <w:right w:val="none" w:sz="0" w:space="0"/>
          </w:pgBorders>
          <w:cols w:space="0" w:num="1"/>
          <w:rtlGutter w:val="0"/>
          <w:docGrid w:linePitch="0" w:charSpace="0"/>
        </w:sectPr>
      </w:pPr>
    </w:p>
    <w:p>
      <w:pPr>
        <w:spacing w:before="240" w:beforeLines="100"/>
        <w:jc w:val="center"/>
        <w:rPr>
          <w:rFonts w:ascii="宋体"/>
          <w:b/>
          <w:color w:val="auto"/>
          <w:sz w:val="48"/>
          <w:szCs w:val="48"/>
          <w:highlight w:val="none"/>
        </w:rPr>
      </w:pPr>
      <w:r>
        <w:rPr>
          <w:rFonts w:hint="eastAsia" w:ascii="宋体" w:hAnsi="宋体"/>
          <w:b/>
          <w:color w:val="auto"/>
          <w:sz w:val="48"/>
          <w:szCs w:val="48"/>
          <w:highlight w:val="none"/>
        </w:rPr>
        <w:t>目录</w:t>
      </w:r>
    </w:p>
    <w:p>
      <w:pPr>
        <w:pStyle w:val="15"/>
        <w:tabs>
          <w:tab w:val="right" w:leader="dot" w:pos="9299"/>
        </w:tabs>
        <w:spacing w:line="360" w:lineRule="auto"/>
        <w:rPr>
          <w:rFonts w:hint="eastAsia" w:asciiTheme="majorEastAsia" w:hAnsiTheme="majorEastAsia" w:eastAsiaTheme="majorEastAsia" w:cstheme="majorEastAsia"/>
          <w:color w:val="auto"/>
          <w:sz w:val="24"/>
          <w:szCs w:val="24"/>
          <w:highlight w:val="none"/>
        </w:rPr>
      </w:pPr>
      <w:bookmarkStart w:id="0" w:name="_Toc334432586"/>
      <w:r>
        <w:rPr>
          <w:rFonts w:hint="eastAsia" w:asciiTheme="minorEastAsia" w:hAnsiTheme="minorEastAsia" w:eastAsiaTheme="minorEastAsia" w:cstheme="minorEastAsia"/>
          <w:b w:val="0"/>
          <w:bCs w:val="0"/>
          <w:color w:val="auto"/>
          <w:sz w:val="22"/>
          <w:szCs w:val="22"/>
          <w:highlight w:val="none"/>
        </w:rPr>
        <w:fldChar w:fldCharType="begin"/>
      </w:r>
      <w:r>
        <w:rPr>
          <w:rFonts w:hint="eastAsia" w:asciiTheme="minorEastAsia" w:hAnsiTheme="minorEastAsia" w:eastAsiaTheme="minorEastAsia" w:cstheme="minorEastAsia"/>
          <w:b w:val="0"/>
          <w:bCs w:val="0"/>
          <w:color w:val="auto"/>
          <w:sz w:val="22"/>
          <w:szCs w:val="22"/>
          <w:highlight w:val="none"/>
        </w:rPr>
        <w:instrText xml:space="preserve">TOC \o "1-3" \h \u </w:instrText>
      </w:r>
      <w:r>
        <w:rPr>
          <w:rFonts w:hint="eastAsia" w:asciiTheme="minorEastAsia" w:hAnsiTheme="minorEastAsia" w:eastAsiaTheme="minorEastAsia" w:cstheme="minorEastAsia"/>
          <w:b w:val="0"/>
          <w:bCs w:val="0"/>
          <w:color w:val="auto"/>
          <w:sz w:val="22"/>
          <w:szCs w:val="22"/>
          <w:highlight w:val="none"/>
        </w:rPr>
        <w:fldChar w:fldCharType="separate"/>
      </w:r>
      <w:r>
        <w:rPr>
          <w:rFonts w:hint="eastAsia" w:asciiTheme="majorEastAsia" w:hAnsiTheme="majorEastAsia" w:eastAsiaTheme="majorEastAsia" w:cstheme="majorEastAsia"/>
          <w:bCs w:val="0"/>
          <w:color w:val="auto"/>
          <w:sz w:val="24"/>
          <w:szCs w:val="24"/>
          <w:highlight w:val="none"/>
        </w:rPr>
        <w:fldChar w:fldCharType="begin"/>
      </w:r>
      <w:r>
        <w:rPr>
          <w:rFonts w:hint="eastAsia" w:asciiTheme="majorEastAsia" w:hAnsiTheme="majorEastAsia" w:eastAsiaTheme="majorEastAsia" w:cstheme="majorEastAsia"/>
          <w:bCs w:val="0"/>
          <w:color w:val="auto"/>
          <w:sz w:val="24"/>
          <w:szCs w:val="24"/>
          <w:highlight w:val="none"/>
        </w:rPr>
        <w:instrText xml:space="preserve"> HYPERLINK \l _Toc4354 </w:instrText>
      </w:r>
      <w:r>
        <w:rPr>
          <w:rFonts w:hint="eastAsia" w:asciiTheme="majorEastAsia" w:hAnsiTheme="majorEastAsia" w:eastAsiaTheme="majorEastAsia" w:cstheme="majorEastAsia"/>
          <w:bCs w:val="0"/>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rPr>
        <w:t>第一部分</w:t>
      </w:r>
      <w:r>
        <w:rPr>
          <w:rFonts w:hint="eastAsia" w:asciiTheme="majorEastAsia" w:hAnsiTheme="majorEastAsia" w:eastAsiaTheme="majorEastAsia" w:cstheme="majorEastAsia"/>
          <w:color w:val="auto"/>
          <w:sz w:val="24"/>
          <w:szCs w:val="24"/>
          <w:highlight w:val="none"/>
          <w:lang w:eastAsia="zh-CN"/>
        </w:rPr>
        <w:t>竞投公告</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PAGEREF _Toc4354 \h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bCs w:val="0"/>
          <w:color w:val="auto"/>
          <w:sz w:val="24"/>
          <w:szCs w:val="24"/>
          <w:highlight w:val="none"/>
        </w:rPr>
        <w:fldChar w:fldCharType="end"/>
      </w:r>
    </w:p>
    <w:p>
      <w:pPr>
        <w:pStyle w:val="15"/>
        <w:tabs>
          <w:tab w:val="right" w:leader="dot" w:pos="9299"/>
        </w:tabs>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val="0"/>
          <w:color w:val="auto"/>
          <w:sz w:val="24"/>
          <w:szCs w:val="24"/>
          <w:highlight w:val="none"/>
        </w:rPr>
        <w:fldChar w:fldCharType="begin"/>
      </w:r>
      <w:r>
        <w:rPr>
          <w:rFonts w:hint="eastAsia" w:asciiTheme="majorEastAsia" w:hAnsiTheme="majorEastAsia" w:eastAsiaTheme="majorEastAsia" w:cstheme="majorEastAsia"/>
          <w:bCs w:val="0"/>
          <w:color w:val="auto"/>
          <w:sz w:val="24"/>
          <w:szCs w:val="24"/>
          <w:highlight w:val="none"/>
        </w:rPr>
        <w:instrText xml:space="preserve"> HYPERLINK \l _Toc21591 </w:instrText>
      </w:r>
      <w:r>
        <w:rPr>
          <w:rFonts w:hint="eastAsia" w:asciiTheme="majorEastAsia" w:hAnsiTheme="majorEastAsia" w:eastAsiaTheme="majorEastAsia" w:cstheme="majorEastAsia"/>
          <w:bCs w:val="0"/>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lang w:val="en-US" w:eastAsia="zh-CN"/>
        </w:rPr>
        <w:t>第二部分</w:t>
      </w:r>
      <w:r>
        <w:rPr>
          <w:rFonts w:hint="eastAsia" w:asciiTheme="majorEastAsia" w:hAnsiTheme="majorEastAsia" w:eastAsiaTheme="majorEastAsia" w:cstheme="majorEastAsia"/>
          <w:color w:val="auto"/>
          <w:sz w:val="24"/>
          <w:szCs w:val="24"/>
          <w:highlight w:val="none"/>
        </w:rPr>
        <w:t>项目内容</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PAGEREF _Toc21591 \h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rPr>
        <w:t>5</w:t>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bCs w:val="0"/>
          <w:color w:val="auto"/>
          <w:sz w:val="24"/>
          <w:szCs w:val="24"/>
          <w:highlight w:val="none"/>
        </w:rPr>
        <w:fldChar w:fldCharType="end"/>
      </w:r>
    </w:p>
    <w:p>
      <w:pPr>
        <w:pStyle w:val="15"/>
        <w:tabs>
          <w:tab w:val="right" w:leader="dot" w:pos="9299"/>
        </w:tabs>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bCs w:val="0"/>
          <w:color w:val="auto"/>
          <w:sz w:val="24"/>
          <w:szCs w:val="24"/>
          <w:highlight w:val="none"/>
        </w:rPr>
        <w:fldChar w:fldCharType="begin"/>
      </w:r>
      <w:r>
        <w:rPr>
          <w:rFonts w:hint="eastAsia" w:asciiTheme="majorEastAsia" w:hAnsiTheme="majorEastAsia" w:eastAsiaTheme="majorEastAsia" w:cstheme="majorEastAsia"/>
          <w:bCs w:val="0"/>
          <w:color w:val="auto"/>
          <w:sz w:val="24"/>
          <w:szCs w:val="24"/>
          <w:highlight w:val="none"/>
        </w:rPr>
        <w:instrText xml:space="preserve"> HYPERLINK \l _Toc5219 </w:instrText>
      </w:r>
      <w:r>
        <w:rPr>
          <w:rFonts w:hint="eastAsia" w:asciiTheme="majorEastAsia" w:hAnsiTheme="majorEastAsia" w:eastAsiaTheme="majorEastAsia" w:cstheme="majorEastAsia"/>
          <w:bCs w:val="0"/>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lang w:val="en-US" w:eastAsia="zh-CN"/>
        </w:rPr>
        <w:t>第三部分投标人须知</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bCs w:val="0"/>
          <w:color w:val="auto"/>
          <w:sz w:val="24"/>
          <w:szCs w:val="24"/>
          <w:highlight w:val="none"/>
        </w:rPr>
        <w:fldChar w:fldCharType="end"/>
      </w:r>
      <w:r>
        <w:rPr>
          <w:rFonts w:hint="eastAsia" w:asciiTheme="majorEastAsia" w:hAnsiTheme="majorEastAsia" w:eastAsiaTheme="majorEastAsia" w:cstheme="majorEastAsia"/>
          <w:bCs w:val="0"/>
          <w:color w:val="auto"/>
          <w:sz w:val="24"/>
          <w:szCs w:val="24"/>
          <w:highlight w:val="none"/>
          <w:lang w:val="en-US" w:eastAsia="zh-CN"/>
        </w:rPr>
        <w:t>6</w:t>
      </w:r>
    </w:p>
    <w:p>
      <w:pPr>
        <w:pStyle w:val="15"/>
        <w:tabs>
          <w:tab w:val="right" w:leader="dot" w:pos="9299"/>
        </w:tabs>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val="0"/>
          <w:color w:val="auto"/>
          <w:sz w:val="24"/>
          <w:szCs w:val="24"/>
          <w:highlight w:val="none"/>
        </w:rPr>
        <w:fldChar w:fldCharType="begin"/>
      </w:r>
      <w:r>
        <w:rPr>
          <w:rFonts w:hint="eastAsia" w:asciiTheme="majorEastAsia" w:hAnsiTheme="majorEastAsia" w:eastAsiaTheme="majorEastAsia" w:cstheme="majorEastAsia"/>
          <w:bCs w:val="0"/>
          <w:color w:val="auto"/>
          <w:sz w:val="24"/>
          <w:szCs w:val="24"/>
          <w:highlight w:val="none"/>
        </w:rPr>
        <w:instrText xml:space="preserve"> HYPERLINK \l _Toc30654 </w:instrText>
      </w:r>
      <w:r>
        <w:rPr>
          <w:rFonts w:hint="eastAsia" w:asciiTheme="majorEastAsia" w:hAnsiTheme="majorEastAsia" w:eastAsiaTheme="majorEastAsia" w:cstheme="majorEastAsia"/>
          <w:bCs w:val="0"/>
          <w:color w:val="auto"/>
          <w:sz w:val="24"/>
          <w:szCs w:val="24"/>
          <w:highlight w:val="none"/>
        </w:rPr>
        <w:fldChar w:fldCharType="separate"/>
      </w:r>
      <w:r>
        <w:rPr>
          <w:rFonts w:hint="eastAsia" w:asciiTheme="majorEastAsia" w:hAnsiTheme="majorEastAsia" w:eastAsiaTheme="majorEastAsia" w:cstheme="majorEastAsia"/>
          <w:color w:val="auto"/>
          <w:kern w:val="2"/>
          <w:sz w:val="24"/>
          <w:szCs w:val="24"/>
          <w:highlight w:val="none"/>
          <w:lang w:val="en-US" w:eastAsia="zh-CN" w:bidi="ar-SA"/>
        </w:rPr>
        <w:t>第四部分合同书范本</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PAGEREF _Toc30654 \h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rPr>
        <w:t>30</w:t>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bCs w:val="0"/>
          <w:color w:val="auto"/>
          <w:sz w:val="24"/>
          <w:szCs w:val="24"/>
          <w:highlight w:val="none"/>
        </w:rPr>
        <w:fldChar w:fldCharType="end"/>
      </w:r>
    </w:p>
    <w:p>
      <w:pPr>
        <w:pStyle w:val="15"/>
        <w:tabs>
          <w:tab w:val="right" w:leader="dot" w:pos="9299"/>
        </w:tabs>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val="0"/>
          <w:color w:val="auto"/>
          <w:sz w:val="24"/>
          <w:szCs w:val="24"/>
          <w:highlight w:val="none"/>
        </w:rPr>
        <w:fldChar w:fldCharType="begin"/>
      </w:r>
      <w:r>
        <w:rPr>
          <w:rFonts w:hint="eastAsia" w:asciiTheme="majorEastAsia" w:hAnsiTheme="majorEastAsia" w:eastAsiaTheme="majorEastAsia" w:cstheme="majorEastAsia"/>
          <w:bCs w:val="0"/>
          <w:color w:val="auto"/>
          <w:sz w:val="24"/>
          <w:szCs w:val="24"/>
          <w:highlight w:val="none"/>
        </w:rPr>
        <w:instrText xml:space="preserve"> HYPERLINK \l _Toc27266 </w:instrText>
      </w:r>
      <w:r>
        <w:rPr>
          <w:rFonts w:hint="eastAsia" w:asciiTheme="majorEastAsia" w:hAnsiTheme="majorEastAsia" w:eastAsiaTheme="majorEastAsia" w:cstheme="majorEastAsia"/>
          <w:bCs w:val="0"/>
          <w:color w:val="auto"/>
          <w:sz w:val="24"/>
          <w:szCs w:val="24"/>
          <w:highlight w:val="none"/>
        </w:rPr>
        <w:fldChar w:fldCharType="separate"/>
      </w:r>
      <w:r>
        <w:rPr>
          <w:rFonts w:hint="eastAsia" w:asciiTheme="majorEastAsia" w:hAnsiTheme="majorEastAsia" w:eastAsiaTheme="majorEastAsia" w:cstheme="majorEastAsia"/>
          <w:color w:val="auto"/>
          <w:kern w:val="2"/>
          <w:sz w:val="24"/>
          <w:szCs w:val="24"/>
          <w:highlight w:val="none"/>
          <w:lang w:val="en-US" w:eastAsia="zh-CN" w:bidi="ar-SA"/>
        </w:rPr>
        <w:t>第五部分资格审查文件格式</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PAGEREF _Toc27266 \h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rPr>
        <w:t>44</w:t>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bCs w:val="0"/>
          <w:color w:val="auto"/>
          <w:sz w:val="24"/>
          <w:szCs w:val="24"/>
          <w:highlight w:val="none"/>
        </w:rPr>
        <w:fldChar w:fldCharType="end"/>
      </w:r>
    </w:p>
    <w:p>
      <w:pPr>
        <w:pStyle w:val="11"/>
        <w:tabs>
          <w:tab w:val="right" w:leader="dot" w:pos="9299"/>
        </w:tabs>
        <w:rPr>
          <w:color w:val="auto"/>
          <w:highlight w:val="none"/>
        </w:rPr>
      </w:pPr>
    </w:p>
    <w:p>
      <w:pPr>
        <w:pStyle w:val="15"/>
        <w:tabs>
          <w:tab w:val="right" w:leader="dot" w:pos="9349"/>
        </w:tabs>
        <w:spacing w:line="360" w:lineRule="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Cs w:val="0"/>
          <w:color w:val="auto"/>
          <w:szCs w:val="22"/>
          <w:highlight w:val="none"/>
        </w:rPr>
        <w:fldChar w:fldCharType="end"/>
      </w:r>
    </w:p>
    <w:p>
      <w:pPr>
        <w:pStyle w:val="12"/>
        <w:rPr>
          <w:color w:val="auto"/>
          <w:highlight w:val="none"/>
        </w:rPr>
      </w:pPr>
    </w:p>
    <w:p>
      <w:pPr>
        <w:spacing w:after="120" w:afterLines="50" w:line="360" w:lineRule="auto"/>
        <w:jc w:val="center"/>
        <w:outlineLvl w:val="0"/>
        <w:rPr>
          <w:rFonts w:hint="eastAsia" w:ascii="宋体" w:hAnsi="宋体"/>
          <w:b/>
          <w:color w:val="auto"/>
          <w:sz w:val="36"/>
          <w:szCs w:val="36"/>
          <w:highlight w:val="none"/>
        </w:rPr>
        <w:sectPr>
          <w:footerReference r:id="rId4" w:type="default"/>
          <w:pgSz w:w="11850" w:h="16783"/>
          <w:pgMar w:top="1134" w:right="1134" w:bottom="1134" w:left="1417" w:header="573" w:footer="584" w:gutter="0"/>
          <w:pgBorders>
            <w:top w:val="none" w:sz="0" w:space="0"/>
            <w:left w:val="none" w:sz="0" w:space="0"/>
            <w:bottom w:val="none" w:sz="0" w:space="0"/>
            <w:right w:val="none" w:sz="0" w:space="0"/>
          </w:pgBorders>
          <w:pgNumType w:fmt="decimal" w:start="1"/>
          <w:cols w:space="0" w:num="1"/>
          <w:rtlGutter w:val="0"/>
          <w:docGrid w:linePitch="0" w:charSpace="0"/>
        </w:sectPr>
      </w:pPr>
      <w:bookmarkStart w:id="1" w:name="_Toc7029"/>
      <w:bookmarkStart w:id="2" w:name="_Toc7755"/>
      <w:bookmarkStart w:id="3" w:name="_Toc13131"/>
    </w:p>
    <w:p>
      <w:pPr>
        <w:spacing w:after="120" w:afterLines="50" w:line="360" w:lineRule="auto"/>
        <w:jc w:val="center"/>
        <w:outlineLvl w:val="0"/>
        <w:rPr>
          <w:rFonts w:hint="eastAsia" w:ascii="宋体" w:eastAsia="宋体"/>
          <w:b/>
          <w:color w:val="auto"/>
          <w:sz w:val="36"/>
          <w:szCs w:val="36"/>
          <w:highlight w:val="none"/>
          <w:lang w:eastAsia="zh-CN"/>
        </w:rPr>
      </w:pPr>
      <w:bookmarkStart w:id="4" w:name="_Toc4354"/>
      <w:r>
        <w:rPr>
          <w:rFonts w:hint="eastAsia" w:ascii="宋体" w:hAnsi="宋体"/>
          <w:b/>
          <w:color w:val="auto"/>
          <w:sz w:val="36"/>
          <w:szCs w:val="36"/>
          <w:highlight w:val="none"/>
        </w:rPr>
        <w:t>第一部分</w:t>
      </w:r>
      <w:bookmarkEnd w:id="0"/>
      <w:bookmarkEnd w:id="1"/>
      <w:bookmarkEnd w:id="2"/>
      <w:bookmarkEnd w:id="3"/>
      <w:r>
        <w:rPr>
          <w:rFonts w:hint="eastAsia" w:ascii="宋体" w:hAnsi="宋体"/>
          <w:b/>
          <w:color w:val="auto"/>
          <w:sz w:val="36"/>
          <w:szCs w:val="36"/>
          <w:highlight w:val="none"/>
          <w:lang w:eastAsia="zh-CN"/>
        </w:rPr>
        <w:t>竞投公告</w:t>
      </w:r>
      <w:bookmarkEnd w:id="4"/>
    </w:p>
    <w:p>
      <w:pPr>
        <w:autoSpaceDN w:val="0"/>
        <w:spacing w:line="360" w:lineRule="auto"/>
        <w:ind w:firstLine="180"/>
        <w:jc w:val="center"/>
        <w:rPr>
          <w:rFonts w:ascii="宋体" w:hAnsi="宋体"/>
          <w:b/>
          <w:bCs/>
          <w:color w:val="auto"/>
          <w:sz w:val="24"/>
          <w:highlight w:val="none"/>
        </w:rPr>
      </w:pPr>
      <w:r>
        <w:rPr>
          <w:rFonts w:hint="eastAsia" w:ascii="宋体" w:hAnsi="宋体"/>
          <w:b/>
          <w:bCs/>
          <w:color w:val="auto"/>
          <w:sz w:val="24"/>
          <w:highlight w:val="none"/>
        </w:rPr>
        <w:t>项目概况</w:t>
      </w:r>
    </w:p>
    <w:p>
      <w:pPr>
        <w:autoSpaceDN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u w:val="single"/>
          <w:lang w:eastAsia="zh-CN"/>
        </w:rPr>
        <w:t>佛山市禅城区南庄镇吉利村竹甫经济合作社拟对吉利竹甫村停车停放进行管理，通过公开竞投确定中标人负责对吉利竹甫村车辆停放进行管理，</w:t>
      </w:r>
      <w:r>
        <w:rPr>
          <w:rFonts w:hint="eastAsia" w:ascii="宋体" w:hAnsi="宋体"/>
          <w:color w:val="auto"/>
          <w:sz w:val="24"/>
          <w:highlight w:val="none"/>
        </w:rPr>
        <w:t>潜在</w:t>
      </w:r>
      <w:r>
        <w:rPr>
          <w:rFonts w:hint="eastAsia" w:ascii="宋体" w:hAnsi="宋体"/>
          <w:color w:val="auto"/>
          <w:sz w:val="24"/>
          <w:highlight w:val="none"/>
          <w:lang w:eastAsia="zh-CN"/>
        </w:rPr>
        <w:t>投标人</w:t>
      </w:r>
      <w:r>
        <w:rPr>
          <w:rFonts w:hint="eastAsia" w:ascii="宋体" w:hAnsi="宋体"/>
          <w:color w:val="auto"/>
          <w:sz w:val="24"/>
          <w:highlight w:val="none"/>
        </w:rPr>
        <w:t>应在</w:t>
      </w:r>
      <w:r>
        <w:rPr>
          <w:rFonts w:hint="eastAsia" w:ascii="宋体" w:hAnsi="宋体" w:cs="宋体"/>
          <w:color w:val="auto"/>
          <w:sz w:val="24"/>
          <w:highlight w:val="none"/>
          <w:lang w:eastAsia="zh-CN"/>
        </w:rPr>
        <w:t>竞投</w:t>
      </w:r>
      <w:r>
        <w:rPr>
          <w:rFonts w:hint="eastAsia" w:ascii="宋体" w:hAnsi="宋体" w:cs="宋体"/>
          <w:color w:val="auto"/>
          <w:sz w:val="24"/>
          <w:highlight w:val="none"/>
        </w:rPr>
        <w:t>截止时间前登录佛山市公共资源交易中心禅城分中心网下载</w:t>
      </w:r>
      <w:r>
        <w:rPr>
          <w:rFonts w:hint="eastAsia" w:ascii="宋体" w:hAnsi="宋体"/>
          <w:color w:val="auto"/>
          <w:sz w:val="24"/>
          <w:highlight w:val="none"/>
          <w:u w:val="single"/>
          <w:lang w:eastAsia="zh-CN"/>
        </w:rPr>
        <w:t>吉利竹甫村车辆停放管理服务公开竞投</w:t>
      </w:r>
      <w:r>
        <w:rPr>
          <w:rFonts w:hint="eastAsia" w:ascii="宋体" w:hAnsi="宋体" w:cs="宋体"/>
          <w:color w:val="auto"/>
          <w:sz w:val="24"/>
          <w:highlight w:val="none"/>
        </w:rPr>
        <w:t>文件</w:t>
      </w:r>
      <w:r>
        <w:rPr>
          <w:rFonts w:hint="eastAsia" w:ascii="宋体" w:hAnsi="宋体"/>
          <w:color w:val="auto"/>
          <w:sz w:val="24"/>
          <w:highlight w:val="none"/>
        </w:rPr>
        <w:t>，并于202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u w:val="none"/>
          <w:lang w:val="en-US" w:eastAsia="zh-CN"/>
        </w:rPr>
        <w:t>月8日9</w:t>
      </w:r>
      <w:r>
        <w:rPr>
          <w:rFonts w:hint="eastAsia" w:ascii="宋体" w:hAnsi="宋体"/>
          <w:color w:val="auto"/>
          <w:sz w:val="24"/>
          <w:highlight w:val="none"/>
          <w:u w:val="none"/>
        </w:rPr>
        <w:t>点</w:t>
      </w:r>
      <w:r>
        <w:rPr>
          <w:rFonts w:hint="eastAsia" w:ascii="宋体" w:hAnsi="宋体"/>
          <w:color w:val="auto"/>
          <w:sz w:val="24"/>
          <w:highlight w:val="none"/>
          <w:u w:val="none"/>
          <w:lang w:val="en-US" w:eastAsia="zh-CN"/>
        </w:rPr>
        <w:t>00</w:t>
      </w:r>
      <w:r>
        <w:rPr>
          <w:rFonts w:hint="eastAsia" w:ascii="宋体" w:hAnsi="宋体"/>
          <w:color w:val="auto"/>
          <w:sz w:val="24"/>
          <w:highlight w:val="none"/>
          <w:u w:val="none"/>
        </w:rPr>
        <w:t>分</w:t>
      </w:r>
      <w:r>
        <w:rPr>
          <w:rFonts w:hint="eastAsia" w:ascii="宋体" w:hAnsi="宋体"/>
          <w:color w:val="auto"/>
          <w:sz w:val="24"/>
          <w:highlight w:val="none"/>
        </w:rPr>
        <w:t>（北京时间）前递交</w:t>
      </w:r>
      <w:r>
        <w:rPr>
          <w:rFonts w:hint="eastAsia" w:ascii="宋体" w:hAnsi="宋体"/>
          <w:color w:val="auto"/>
          <w:sz w:val="24"/>
          <w:highlight w:val="none"/>
          <w:lang w:eastAsia="zh-CN"/>
        </w:rPr>
        <w:t>资格审查</w:t>
      </w:r>
      <w:r>
        <w:rPr>
          <w:rFonts w:hint="eastAsia" w:ascii="宋体" w:hAnsi="宋体"/>
          <w:color w:val="auto"/>
          <w:sz w:val="24"/>
          <w:highlight w:val="none"/>
        </w:rPr>
        <w:t>文件</w:t>
      </w:r>
      <w:r>
        <w:rPr>
          <w:rFonts w:hint="eastAsia" w:ascii="宋体" w:hAnsi="宋体"/>
          <w:color w:val="auto"/>
          <w:sz w:val="24"/>
          <w:highlight w:val="none"/>
          <w:lang w:eastAsia="zh-CN"/>
        </w:rPr>
        <w:t>，经资格审查合格后参加竞投</w:t>
      </w:r>
      <w:r>
        <w:rPr>
          <w:rFonts w:hint="eastAsia" w:ascii="宋体" w:hAnsi="宋体"/>
          <w:color w:val="auto"/>
          <w:sz w:val="24"/>
          <w:highlight w:val="none"/>
        </w:rPr>
        <w:t>。</w:t>
      </w:r>
    </w:p>
    <w:p>
      <w:pPr>
        <w:numPr>
          <w:ilvl w:val="0"/>
          <w:numId w:val="2"/>
        </w:numPr>
        <w:tabs>
          <w:tab w:val="left" w:pos="426"/>
        </w:tabs>
        <w:autoSpaceDE w:val="0"/>
        <w:autoSpaceDN w:val="0"/>
        <w:adjustRightInd w:val="0"/>
        <w:snapToGrid w:val="0"/>
        <w:spacing w:line="360" w:lineRule="auto"/>
        <w:ind w:left="0" w:leftChars="0" w:firstLine="0" w:firstLineChars="0"/>
        <w:rPr>
          <w:rFonts w:ascii="宋体" w:hAnsi="宋体" w:cs="宋体"/>
          <w:b/>
          <w:bCs/>
          <w:color w:val="auto"/>
          <w:sz w:val="24"/>
          <w:highlight w:val="none"/>
        </w:rPr>
      </w:pPr>
      <w:r>
        <w:rPr>
          <w:rFonts w:hint="eastAsia" w:ascii="宋体" w:hAnsi="宋体" w:cs="宋体"/>
          <w:b/>
          <w:bCs/>
          <w:color w:val="auto"/>
          <w:sz w:val="24"/>
          <w:highlight w:val="none"/>
        </w:rPr>
        <w:t>项目基本情况</w:t>
      </w:r>
    </w:p>
    <w:p>
      <w:pPr>
        <w:autoSpaceDN w:val="0"/>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吉利竹甫村车辆停放管理服务</w:t>
      </w:r>
    </w:p>
    <w:p>
      <w:pPr>
        <w:autoSpaceDN w:val="0"/>
        <w:spacing w:line="360" w:lineRule="auto"/>
        <w:ind w:firstLine="480" w:firstLineChars="200"/>
        <w:jc w:val="left"/>
        <w:rPr>
          <w:color w:val="auto"/>
          <w:highlight w:val="none"/>
        </w:rPr>
      </w:pPr>
      <w:r>
        <w:rPr>
          <w:rFonts w:hint="eastAsia" w:ascii="宋体" w:hAnsi="宋体"/>
          <w:color w:val="auto"/>
          <w:sz w:val="24"/>
          <w:highlight w:val="none"/>
        </w:rPr>
        <w:t>最低限价：</w:t>
      </w:r>
      <w:r>
        <w:rPr>
          <w:rFonts w:hint="eastAsia" w:ascii="宋体" w:hAnsi="宋体"/>
          <w:color w:val="auto"/>
          <w:sz w:val="24"/>
          <w:highlight w:val="none"/>
          <w:lang w:val="en-US" w:eastAsia="zh-CN"/>
        </w:rPr>
        <w:t>150,000.00元/年，由中标人向招标人支付。</w:t>
      </w:r>
    </w:p>
    <w:p>
      <w:pPr>
        <w:autoSpaceDN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eastAsia="zh-CN"/>
        </w:rPr>
        <w:t>项目</w:t>
      </w:r>
      <w:r>
        <w:rPr>
          <w:rFonts w:hint="eastAsia" w:ascii="宋体" w:hAnsi="宋体"/>
          <w:color w:val="auto"/>
          <w:sz w:val="24"/>
          <w:highlight w:val="none"/>
        </w:rPr>
        <w:t>需求</w:t>
      </w:r>
      <w:r>
        <w:rPr>
          <w:rFonts w:hint="eastAsia" w:ascii="宋体" w:hAnsi="宋体" w:cs="宋体"/>
          <w:color w:val="auto"/>
          <w:sz w:val="24"/>
          <w:highlight w:val="none"/>
        </w:rPr>
        <w:t>（包括但不限于标的名称、数量、简要技术需求或服务要求等）</w:t>
      </w:r>
      <w:r>
        <w:rPr>
          <w:rFonts w:hint="eastAsia" w:ascii="宋体" w:hAnsi="宋体"/>
          <w:color w:val="auto"/>
          <w:sz w:val="24"/>
          <w:highlight w:val="none"/>
        </w:rPr>
        <w:t>：</w:t>
      </w:r>
    </w:p>
    <w:p>
      <w:pPr>
        <w:numPr>
          <w:ilvl w:val="0"/>
          <w:numId w:val="3"/>
        </w:numPr>
        <w:autoSpaceDN w:val="0"/>
        <w:spacing w:line="360" w:lineRule="auto"/>
        <w:ind w:left="425" w:leftChars="0" w:hanging="5"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rPr>
        <w:t>标的名称：</w:t>
      </w:r>
      <w:r>
        <w:rPr>
          <w:rFonts w:hint="eastAsia" w:ascii="宋体" w:hAnsi="宋体"/>
          <w:color w:val="auto"/>
          <w:sz w:val="24"/>
          <w:highlight w:val="none"/>
          <w:lang w:eastAsia="zh-CN"/>
        </w:rPr>
        <w:t>吉利竹甫村车辆停放管理服务</w:t>
      </w:r>
    </w:p>
    <w:p>
      <w:pPr>
        <w:numPr>
          <w:ilvl w:val="0"/>
          <w:numId w:val="3"/>
        </w:numPr>
        <w:autoSpaceDN w:val="0"/>
        <w:spacing w:line="360" w:lineRule="auto"/>
        <w:ind w:left="425" w:leftChars="0" w:hanging="5" w:firstLineChars="0"/>
        <w:jc w:val="left"/>
        <w:rPr>
          <w:rFonts w:hint="eastAsia" w:ascii="宋体" w:hAnsi="宋体"/>
          <w:color w:val="auto"/>
          <w:sz w:val="24"/>
          <w:highlight w:val="none"/>
        </w:rPr>
      </w:pPr>
      <w:r>
        <w:rPr>
          <w:rFonts w:hint="eastAsia" w:ascii="宋体" w:hAnsi="宋体"/>
          <w:color w:val="auto"/>
          <w:sz w:val="24"/>
          <w:highlight w:val="none"/>
        </w:rPr>
        <w:t>数量：1项</w:t>
      </w:r>
    </w:p>
    <w:p>
      <w:pPr>
        <w:numPr>
          <w:ilvl w:val="0"/>
          <w:numId w:val="3"/>
        </w:numPr>
        <w:tabs>
          <w:tab w:val="left" w:pos="426"/>
        </w:tabs>
        <w:autoSpaceDE w:val="0"/>
        <w:autoSpaceDN w:val="0"/>
        <w:adjustRightInd w:val="0"/>
        <w:snapToGrid w:val="0"/>
        <w:spacing w:line="360" w:lineRule="auto"/>
        <w:ind w:left="425" w:leftChars="0" w:hanging="5" w:firstLineChars="0"/>
        <w:rPr>
          <w:rFonts w:hint="eastAsia" w:ascii="宋体" w:hAnsi="宋体" w:cs="宋体"/>
          <w:color w:val="auto"/>
          <w:sz w:val="24"/>
          <w:highlight w:val="none"/>
        </w:rPr>
      </w:pPr>
      <w:r>
        <w:rPr>
          <w:rFonts w:hint="eastAsia" w:ascii="宋体" w:hAnsi="宋体" w:cs="宋体"/>
          <w:color w:val="auto"/>
          <w:sz w:val="24"/>
          <w:highlight w:val="none"/>
        </w:rPr>
        <w:t>简要技术需求或服务要求：</w:t>
      </w:r>
    </w:p>
    <w:tbl>
      <w:tblPr>
        <w:tblStyle w:val="19"/>
        <w:tblW w:w="9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1350"/>
        <w:gridCol w:w="5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516" w:type="dxa"/>
            <w:tcBorders>
              <w:tl2br w:val="nil"/>
              <w:tr2bl w:val="nil"/>
            </w:tcBorders>
            <w:noWrap w:val="0"/>
            <w:vAlign w:val="center"/>
          </w:tcPr>
          <w:p>
            <w:pPr>
              <w:pStyle w:val="17"/>
              <w:ind w:firstLine="0" w:firstLineChars="0"/>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采购内容</w:t>
            </w:r>
          </w:p>
        </w:tc>
        <w:tc>
          <w:tcPr>
            <w:tcW w:w="1350" w:type="dxa"/>
            <w:tcBorders>
              <w:tl2br w:val="nil"/>
              <w:tr2bl w:val="nil"/>
            </w:tcBorders>
            <w:noWrap w:val="0"/>
            <w:vAlign w:val="center"/>
          </w:tcPr>
          <w:p>
            <w:pPr>
              <w:pStyle w:val="17"/>
              <w:ind w:firstLine="0" w:firstLineChars="0"/>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数量</w:t>
            </w:r>
          </w:p>
        </w:tc>
        <w:tc>
          <w:tcPr>
            <w:tcW w:w="5639" w:type="dxa"/>
            <w:tcBorders>
              <w:tl2br w:val="nil"/>
              <w:tr2bl w:val="nil"/>
            </w:tcBorders>
            <w:noWrap w:val="0"/>
            <w:vAlign w:val="center"/>
          </w:tcPr>
          <w:p>
            <w:pPr>
              <w:pStyle w:val="17"/>
              <w:ind w:firstLine="0" w:firstLineChars="0"/>
              <w:jc w:val="center"/>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rPr>
              <w:t>最低限价</w:t>
            </w:r>
            <w:r>
              <w:rPr>
                <w:rFonts w:hint="eastAsia" w:asciiTheme="minorEastAsia" w:hAnsiTheme="minorEastAsia" w:eastAsiaTheme="minorEastAsia" w:cstheme="minorEastAsia"/>
                <w:b/>
                <w:bCs/>
                <w:color w:val="auto"/>
                <w:sz w:val="24"/>
                <w:highlight w:val="none"/>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2516" w:type="dxa"/>
            <w:tcBorders>
              <w:tl2br w:val="nil"/>
              <w:tr2bl w:val="nil"/>
            </w:tcBorders>
            <w:noWrap w:val="0"/>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吉利竹甫村车辆停放管理服务</w:t>
            </w:r>
          </w:p>
        </w:tc>
        <w:tc>
          <w:tcPr>
            <w:tcW w:w="1350" w:type="dxa"/>
            <w:tcBorders>
              <w:tl2br w:val="nil"/>
              <w:tr2bl w:val="nil"/>
            </w:tcBorders>
            <w:noWrap w:val="0"/>
            <w:vAlign w:val="center"/>
          </w:tcPr>
          <w:p>
            <w:pPr>
              <w:spacing w:after="72" w:afterLines="3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1项</w:t>
            </w:r>
          </w:p>
        </w:tc>
        <w:tc>
          <w:tcPr>
            <w:tcW w:w="5639" w:type="dxa"/>
            <w:tcBorders>
              <w:tl2br w:val="nil"/>
              <w:tr2bl w:val="nil"/>
            </w:tcBorders>
            <w:noWrap w:val="0"/>
            <w:vAlign w:val="center"/>
          </w:tcPr>
          <w:p>
            <w:pPr>
              <w:pStyle w:val="3"/>
              <w:spacing w:before="0" w:after="0" w:line="240" w:lineRule="auto"/>
              <w:jc w:val="center"/>
              <w:rPr>
                <w:rFonts w:hint="eastAsia" w:asciiTheme="minorEastAsia" w:hAnsiTheme="minorEastAsia" w:eastAsiaTheme="minorEastAsia" w:cstheme="minorEastAsia"/>
                <w:color w:val="auto"/>
                <w:sz w:val="24"/>
                <w:szCs w:val="24"/>
                <w:highlight w:val="none"/>
                <w:lang w:val="en-US" w:eastAsia="zh-CN"/>
              </w:rPr>
            </w:pPr>
            <w:bookmarkStart w:id="5" w:name="_Toc2683"/>
            <w:r>
              <w:rPr>
                <w:rFonts w:hint="eastAsia" w:asciiTheme="minorEastAsia" w:hAnsiTheme="minorEastAsia" w:eastAsiaTheme="minorEastAsia" w:cstheme="minorEastAsia"/>
                <w:color w:val="auto"/>
                <w:sz w:val="24"/>
                <w:szCs w:val="24"/>
                <w:highlight w:val="none"/>
                <w:lang w:val="en-US" w:eastAsia="zh-CN"/>
              </w:rPr>
              <w:t>150,000.00元/年。</w:t>
            </w:r>
            <w:bookmarkEnd w:id="5"/>
          </w:p>
          <w:p>
            <w:pPr>
              <w:pStyle w:val="3"/>
              <w:spacing w:before="0" w:after="0" w:line="240" w:lineRule="auto"/>
              <w:rPr>
                <w:rFonts w:hint="eastAsia" w:asciiTheme="minorEastAsia" w:hAnsiTheme="minorEastAsia" w:eastAsiaTheme="minorEastAsia" w:cstheme="minorEastAsia"/>
                <w:color w:val="auto"/>
                <w:sz w:val="24"/>
                <w:szCs w:val="24"/>
                <w:highlight w:val="none"/>
              </w:rPr>
            </w:pPr>
            <w:bookmarkStart w:id="6" w:name="_Toc22804"/>
            <w:bookmarkStart w:id="7" w:name="_Toc31748"/>
            <w:r>
              <w:rPr>
                <w:rFonts w:hint="eastAsia" w:asciiTheme="minorEastAsia" w:hAnsiTheme="minorEastAsia" w:eastAsiaTheme="minorEastAsia" w:cstheme="minorEastAsia"/>
                <w:color w:val="auto"/>
                <w:sz w:val="24"/>
                <w:szCs w:val="24"/>
                <w:highlight w:val="none"/>
              </w:rPr>
              <w:t>说明：</w:t>
            </w:r>
            <w:bookmarkEnd w:id="6"/>
            <w:bookmarkEnd w:id="7"/>
          </w:p>
          <w:p>
            <w:pPr>
              <w:pStyle w:val="3"/>
              <w:spacing w:before="0" w:after="0" w:line="240" w:lineRule="auto"/>
              <w:rPr>
                <w:rFonts w:hint="eastAsia" w:asciiTheme="minorEastAsia" w:hAnsiTheme="minorEastAsia" w:eastAsiaTheme="minorEastAsia" w:cstheme="minorEastAsia"/>
                <w:b/>
                <w:bCs/>
                <w:color w:val="auto"/>
                <w:sz w:val="24"/>
                <w:szCs w:val="24"/>
                <w:highlight w:val="none"/>
              </w:rPr>
            </w:pPr>
            <w:bookmarkStart w:id="8" w:name="_Toc13636"/>
            <w:bookmarkStart w:id="9" w:name="_Toc24175"/>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招标人</w:t>
            </w:r>
            <w:r>
              <w:rPr>
                <w:rFonts w:hint="eastAsia" w:asciiTheme="minorEastAsia" w:hAnsiTheme="minorEastAsia" w:eastAsiaTheme="minorEastAsia" w:cstheme="minorEastAsia"/>
                <w:b/>
                <w:bCs/>
                <w:color w:val="auto"/>
                <w:sz w:val="24"/>
                <w:szCs w:val="24"/>
                <w:highlight w:val="none"/>
              </w:rPr>
              <w:t>将</w:t>
            </w:r>
            <w:r>
              <w:rPr>
                <w:rFonts w:hint="eastAsia" w:asciiTheme="minorEastAsia" w:hAnsiTheme="minorEastAsia" w:eastAsiaTheme="minorEastAsia" w:cstheme="minorEastAsia"/>
                <w:b/>
                <w:bCs/>
                <w:color w:val="auto"/>
                <w:sz w:val="24"/>
                <w:szCs w:val="24"/>
                <w:highlight w:val="none"/>
                <w:lang w:eastAsia="zh-CN"/>
              </w:rPr>
              <w:t>吉利竹甫村车辆停放管理</w:t>
            </w:r>
            <w:r>
              <w:rPr>
                <w:rFonts w:hint="eastAsia" w:asciiTheme="minorEastAsia" w:hAnsiTheme="minorEastAsia" w:eastAsiaTheme="minorEastAsia" w:cstheme="minorEastAsia"/>
                <w:b/>
                <w:bCs/>
                <w:color w:val="auto"/>
                <w:sz w:val="24"/>
                <w:szCs w:val="24"/>
                <w:highlight w:val="none"/>
              </w:rPr>
              <w:t>交由中标人进行</w:t>
            </w:r>
            <w:r>
              <w:rPr>
                <w:rFonts w:hint="eastAsia" w:asciiTheme="minorEastAsia" w:hAnsiTheme="minorEastAsia" w:eastAsiaTheme="minorEastAsia" w:cstheme="minorEastAsia"/>
                <w:b/>
                <w:bCs/>
                <w:color w:val="auto"/>
                <w:sz w:val="24"/>
                <w:szCs w:val="24"/>
                <w:highlight w:val="none"/>
                <w:lang w:eastAsia="zh-CN"/>
              </w:rPr>
              <w:t>管理</w:t>
            </w:r>
            <w:r>
              <w:rPr>
                <w:rFonts w:hint="eastAsia" w:asciiTheme="minorEastAsia" w:hAnsiTheme="minorEastAsia" w:eastAsiaTheme="minorEastAsia" w:cstheme="minorEastAsia"/>
                <w:b/>
                <w:bCs/>
                <w:color w:val="auto"/>
                <w:sz w:val="24"/>
                <w:szCs w:val="24"/>
                <w:highlight w:val="none"/>
              </w:rPr>
              <w:t>，中标人按中标价向</w:t>
            </w:r>
            <w:r>
              <w:rPr>
                <w:rFonts w:hint="eastAsia" w:asciiTheme="minorEastAsia" w:hAnsiTheme="minorEastAsia" w:eastAsiaTheme="minorEastAsia" w:cstheme="minorEastAsia"/>
                <w:b/>
                <w:bCs/>
                <w:color w:val="auto"/>
                <w:sz w:val="24"/>
                <w:szCs w:val="24"/>
                <w:highlight w:val="none"/>
                <w:lang w:eastAsia="zh-CN"/>
              </w:rPr>
              <w:t>招标人</w:t>
            </w:r>
            <w:r>
              <w:rPr>
                <w:rFonts w:hint="eastAsia" w:asciiTheme="minorEastAsia" w:hAnsiTheme="minorEastAsia" w:eastAsiaTheme="minorEastAsia" w:cstheme="minorEastAsia"/>
                <w:b/>
                <w:bCs/>
                <w:color w:val="auto"/>
                <w:sz w:val="24"/>
                <w:szCs w:val="24"/>
                <w:highlight w:val="none"/>
              </w:rPr>
              <w:t>支付相关</w:t>
            </w:r>
            <w:r>
              <w:rPr>
                <w:rFonts w:hint="eastAsia" w:asciiTheme="minorEastAsia" w:hAnsiTheme="minorEastAsia" w:eastAsiaTheme="minorEastAsia" w:cstheme="minorEastAsia"/>
                <w:b/>
                <w:bCs/>
                <w:color w:val="auto"/>
                <w:sz w:val="24"/>
                <w:szCs w:val="24"/>
                <w:highlight w:val="none"/>
                <w:lang w:eastAsia="zh-CN"/>
              </w:rPr>
              <w:t>费用</w:t>
            </w:r>
            <w:r>
              <w:rPr>
                <w:rFonts w:hint="eastAsia" w:asciiTheme="minorEastAsia" w:hAnsiTheme="minorEastAsia" w:eastAsiaTheme="minorEastAsia" w:cstheme="minorEastAsia"/>
                <w:b/>
                <w:bCs/>
                <w:color w:val="auto"/>
                <w:sz w:val="24"/>
                <w:szCs w:val="24"/>
                <w:highlight w:val="none"/>
              </w:rPr>
              <w:t>；</w:t>
            </w:r>
            <w:bookmarkEnd w:id="8"/>
            <w:bookmarkEnd w:id="9"/>
          </w:p>
          <w:p>
            <w:pPr>
              <w:pStyle w:val="12"/>
              <w:rPr>
                <w:rFonts w:hint="eastAsia" w:asciiTheme="minorEastAsia" w:hAnsiTheme="minorEastAsia" w:eastAsiaTheme="minorEastAsia" w:cstheme="minorEastAsia"/>
                <w:b/>
                <w:bCs/>
                <w:color w:val="auto"/>
                <w:sz w:val="24"/>
                <w:szCs w:val="24"/>
                <w:highlight w:val="none"/>
              </w:rPr>
            </w:pPr>
            <w:bookmarkStart w:id="10" w:name="_Toc22463"/>
            <w:r>
              <w:rPr>
                <w:rFonts w:hint="eastAsia" w:asciiTheme="minorEastAsia" w:hAnsiTheme="minorEastAsia" w:eastAsiaTheme="minorEastAsia" w:cstheme="minorEastAsia"/>
                <w:b/>
                <w:bCs/>
                <w:color w:val="auto"/>
                <w:sz w:val="24"/>
                <w:szCs w:val="24"/>
                <w:highlight w:val="none"/>
              </w:rPr>
              <w:t>2.中标人按</w:t>
            </w:r>
            <w:r>
              <w:rPr>
                <w:rFonts w:hint="eastAsia" w:asciiTheme="minorEastAsia" w:hAnsiTheme="minorEastAsia" w:eastAsiaTheme="minorEastAsia" w:cstheme="minorEastAsia"/>
                <w:b/>
                <w:bCs/>
                <w:color w:val="auto"/>
                <w:sz w:val="24"/>
                <w:szCs w:val="24"/>
                <w:highlight w:val="none"/>
                <w:lang w:eastAsia="zh-CN"/>
              </w:rPr>
              <w:t>招标人</w:t>
            </w:r>
            <w:r>
              <w:rPr>
                <w:rFonts w:hint="eastAsia" w:asciiTheme="minorEastAsia" w:hAnsiTheme="minorEastAsia" w:eastAsiaTheme="minorEastAsia" w:cstheme="minorEastAsia"/>
                <w:b/>
                <w:bCs/>
                <w:color w:val="auto"/>
                <w:sz w:val="24"/>
                <w:szCs w:val="24"/>
                <w:highlight w:val="none"/>
              </w:rPr>
              <w:t>的要求进行</w:t>
            </w:r>
            <w:r>
              <w:rPr>
                <w:rFonts w:hint="eastAsia" w:asciiTheme="minorEastAsia" w:hAnsiTheme="minorEastAsia" w:eastAsiaTheme="minorEastAsia" w:cstheme="minorEastAsia"/>
                <w:b/>
                <w:bCs/>
                <w:color w:val="auto"/>
                <w:sz w:val="24"/>
                <w:szCs w:val="24"/>
                <w:highlight w:val="none"/>
                <w:lang w:eastAsia="zh-CN"/>
              </w:rPr>
              <w:t>管理</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严格按照市、区、相关文件要求进行备案、收费、管理</w:t>
            </w:r>
            <w:bookmarkEnd w:id="10"/>
            <w:r>
              <w:rPr>
                <w:rFonts w:hint="eastAsia" w:asciiTheme="minorEastAsia" w:hAnsiTheme="minorEastAsia" w:eastAsiaTheme="minorEastAsia" w:cstheme="minorEastAsia"/>
                <w:b/>
                <w:bCs/>
                <w:color w:val="auto"/>
                <w:sz w:val="24"/>
                <w:szCs w:val="24"/>
                <w:highlight w:val="none"/>
              </w:rPr>
              <w:t>。</w:t>
            </w:r>
          </w:p>
          <w:p>
            <w:pPr>
              <w:pStyle w:val="1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.中标人必须在中标通知书发出之日起15个工作日内完成本停车场在佛山市停车场管理系统登记备案</w:t>
            </w:r>
            <w:r>
              <w:rPr>
                <w:rFonts w:hint="eastAsia" w:asciiTheme="minorEastAsia" w:hAnsiTheme="minorEastAsia" w:eastAsiaTheme="minorEastAsia" w:cstheme="minorEastAsia"/>
                <w:b/>
                <w:bCs/>
                <w:color w:val="auto"/>
                <w:sz w:val="24"/>
                <w:szCs w:val="24"/>
                <w:highlight w:val="none"/>
                <w:lang w:eastAsia="zh-CN"/>
              </w:rPr>
              <w:t>。</w:t>
            </w:r>
          </w:p>
        </w:tc>
      </w:tr>
    </w:tbl>
    <w:p>
      <w:pPr>
        <w:numPr>
          <w:ilvl w:val="0"/>
          <w:numId w:val="3"/>
        </w:numPr>
        <w:autoSpaceDN w:val="0"/>
        <w:spacing w:line="360" w:lineRule="auto"/>
        <w:ind w:left="425" w:leftChars="0" w:hanging="5" w:firstLineChars="0"/>
        <w:jc w:val="left"/>
        <w:rPr>
          <w:rFonts w:hint="eastAsia" w:ascii="宋体" w:hAnsi="宋体" w:cs="宋体"/>
          <w:color w:val="auto"/>
          <w:sz w:val="24"/>
          <w:highlight w:val="none"/>
        </w:rPr>
      </w:pPr>
      <w:r>
        <w:rPr>
          <w:rFonts w:hint="eastAsia" w:ascii="宋体" w:hAnsi="宋体"/>
          <w:color w:val="auto"/>
          <w:sz w:val="24"/>
          <w:highlight w:val="none"/>
          <w:lang w:eastAsia="zh-CN"/>
        </w:rPr>
        <w:t>服务期</w:t>
      </w: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5年，</w:t>
      </w:r>
      <w:r>
        <w:rPr>
          <w:rFonts w:hint="eastAsia" w:ascii="宋体" w:hAnsi="宋体" w:cs="仿宋_GB2312"/>
          <w:color w:val="auto"/>
          <w:sz w:val="24"/>
          <w:highlight w:val="none"/>
          <w:lang w:eastAsia="zh-CN"/>
        </w:rPr>
        <w:t>具体起止日期以合同约定为准</w:t>
      </w:r>
      <w:r>
        <w:rPr>
          <w:rFonts w:hint="eastAsia" w:ascii="宋体" w:hAnsi="宋体" w:cs="仿宋_GB2312"/>
          <w:color w:val="auto"/>
          <w:sz w:val="24"/>
          <w:highlight w:val="none"/>
        </w:rPr>
        <w:t>。</w:t>
      </w:r>
    </w:p>
    <w:p>
      <w:pPr>
        <w:numPr>
          <w:ilvl w:val="0"/>
          <w:numId w:val="4"/>
        </w:numPr>
        <w:autoSpaceDE w:val="0"/>
        <w:autoSpaceDN w:val="0"/>
        <w:adjustRightInd w:val="0"/>
        <w:snapToGrid w:val="0"/>
        <w:spacing w:line="360" w:lineRule="auto"/>
        <w:ind w:left="0" w:leftChars="0" w:firstLine="0" w:firstLineChars="0"/>
        <w:rPr>
          <w:rFonts w:hint="eastAsia" w:ascii="宋体" w:hAnsi="宋体" w:cs="宋体"/>
          <w:color w:val="auto"/>
          <w:sz w:val="24"/>
          <w:highlight w:val="none"/>
        </w:rPr>
      </w:pPr>
      <w:r>
        <w:rPr>
          <w:rFonts w:hint="eastAsia" w:ascii="宋体" w:hAnsi="宋体" w:cs="宋体"/>
          <w:b/>
          <w:bCs/>
          <w:color w:val="auto"/>
          <w:sz w:val="24"/>
          <w:highlight w:val="none"/>
        </w:rPr>
        <w:t>申请人的资格</w:t>
      </w:r>
      <w:r>
        <w:rPr>
          <w:rFonts w:hint="eastAsia" w:ascii="宋体" w:hAnsi="宋体" w:eastAsia="宋体" w:cs="宋体"/>
          <w:b/>
          <w:bCs/>
          <w:color w:val="auto"/>
          <w:sz w:val="24"/>
          <w:highlight w:val="none"/>
        </w:rPr>
        <w:t>要求</w:t>
      </w:r>
    </w:p>
    <w:p>
      <w:pPr>
        <w:numPr>
          <w:ilvl w:val="0"/>
          <w:numId w:val="5"/>
        </w:numPr>
        <w:autoSpaceDN w:val="0"/>
        <w:spacing w:line="360" w:lineRule="auto"/>
        <w:ind w:left="425" w:leftChars="0" w:hanging="5" w:firstLineChars="0"/>
        <w:jc w:val="left"/>
        <w:rPr>
          <w:rFonts w:hint="eastAsia" w:ascii="宋体" w:hAnsi="宋体"/>
          <w:color w:val="auto"/>
          <w:sz w:val="24"/>
          <w:highlight w:val="none"/>
          <w:lang w:eastAsia="zh-CN"/>
        </w:rPr>
      </w:pPr>
      <w:r>
        <w:rPr>
          <w:rFonts w:hint="eastAsia" w:ascii="宋体" w:hAnsi="宋体"/>
          <w:color w:val="auto"/>
          <w:sz w:val="24"/>
          <w:highlight w:val="none"/>
          <w:lang w:val="en-US" w:eastAsia="zh-CN"/>
        </w:rPr>
        <w:t>须具有独立法人资格，营业执照处于有效期内。</w:t>
      </w:r>
    </w:p>
    <w:p>
      <w:pPr>
        <w:numPr>
          <w:ilvl w:val="0"/>
          <w:numId w:val="5"/>
        </w:numPr>
        <w:autoSpaceDN w:val="0"/>
        <w:spacing w:line="360" w:lineRule="auto"/>
        <w:ind w:left="425" w:leftChars="0" w:hanging="5" w:firstLineChars="0"/>
        <w:jc w:val="left"/>
        <w:rPr>
          <w:rFonts w:hint="eastAsia" w:ascii="宋体" w:hAnsi="宋体"/>
          <w:color w:val="auto"/>
          <w:sz w:val="24"/>
          <w:highlight w:val="none"/>
          <w:lang w:eastAsia="zh-CN"/>
        </w:rPr>
      </w:pPr>
      <w:r>
        <w:rPr>
          <w:rFonts w:hint="eastAsia" w:ascii="宋体" w:hAnsi="宋体"/>
          <w:color w:val="auto"/>
          <w:sz w:val="24"/>
          <w:highlight w:val="none"/>
          <w:lang w:eastAsia="zh-CN"/>
        </w:rPr>
        <w:t>本项目不接受联合体竞投。</w:t>
      </w:r>
    </w:p>
    <w:p>
      <w:pPr>
        <w:numPr>
          <w:ilvl w:val="0"/>
          <w:numId w:val="5"/>
        </w:numPr>
        <w:autoSpaceDN w:val="0"/>
        <w:spacing w:line="360" w:lineRule="auto"/>
        <w:ind w:left="425" w:leftChars="0" w:hanging="5" w:firstLineChars="0"/>
        <w:jc w:val="left"/>
        <w:rPr>
          <w:rFonts w:hint="eastAsia" w:ascii="宋体" w:hAnsi="宋体"/>
          <w:color w:val="auto"/>
          <w:sz w:val="24"/>
          <w:highlight w:val="none"/>
          <w:lang w:eastAsia="zh-CN"/>
        </w:rPr>
      </w:pPr>
      <w:r>
        <w:rPr>
          <w:rFonts w:hint="eastAsia" w:ascii="宋体" w:hAnsi="宋体"/>
          <w:color w:val="auto"/>
          <w:sz w:val="24"/>
          <w:highlight w:val="none"/>
          <w:lang w:eastAsia="zh-CN"/>
        </w:rPr>
        <w:t>法律、行政法规规定的其他条件。</w:t>
      </w:r>
    </w:p>
    <w:p>
      <w:pPr>
        <w:numPr>
          <w:ilvl w:val="0"/>
          <w:numId w:val="6"/>
        </w:numPr>
        <w:autoSpaceDN w:val="0"/>
        <w:spacing w:line="360" w:lineRule="auto"/>
        <w:ind w:left="425" w:leftChars="0" w:hanging="5" w:firstLineChars="0"/>
        <w:jc w:val="left"/>
        <w:rPr>
          <w:rFonts w:hint="eastAsia" w:ascii="宋体" w:hAnsi="宋体"/>
          <w:color w:val="auto"/>
          <w:sz w:val="24"/>
          <w:highlight w:val="none"/>
          <w:lang w:eastAsia="zh-CN"/>
        </w:rPr>
      </w:pPr>
      <w:r>
        <w:rPr>
          <w:rFonts w:hint="eastAsia" w:ascii="宋体" w:hAnsi="宋体"/>
          <w:color w:val="auto"/>
          <w:sz w:val="24"/>
          <w:highlight w:val="none"/>
          <w:lang w:eastAsia="zh-CN"/>
        </w:rPr>
        <w:t>单位负责人为同一人或者存在直接控股、管理关系的不同投标人，不得同时参加本项目竞投；</w:t>
      </w:r>
    </w:p>
    <w:p>
      <w:pPr>
        <w:numPr>
          <w:ilvl w:val="0"/>
          <w:numId w:val="6"/>
        </w:numPr>
        <w:autoSpaceDN w:val="0"/>
        <w:spacing w:line="360" w:lineRule="auto"/>
        <w:ind w:left="425" w:leftChars="0" w:hanging="5" w:firstLineChars="0"/>
        <w:jc w:val="left"/>
        <w:rPr>
          <w:rFonts w:hint="eastAsia" w:ascii="宋体" w:hAnsi="宋体"/>
          <w:color w:val="auto"/>
          <w:sz w:val="24"/>
          <w:highlight w:val="none"/>
          <w:lang w:eastAsia="zh-CN"/>
        </w:rPr>
      </w:pPr>
      <w:r>
        <w:rPr>
          <w:rFonts w:hint="eastAsia" w:ascii="宋体" w:hAnsi="宋体"/>
          <w:color w:val="auto"/>
          <w:sz w:val="24"/>
          <w:highlight w:val="none"/>
          <w:lang w:eastAsia="zh-CN"/>
        </w:rPr>
        <w:t>投标单位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供应商需提供相关证明资料】</w:t>
      </w:r>
    </w:p>
    <w:p>
      <w:pPr>
        <w:numPr>
          <w:ilvl w:val="0"/>
          <w:numId w:val="4"/>
        </w:numPr>
        <w:autoSpaceDE w:val="0"/>
        <w:autoSpaceDN w:val="0"/>
        <w:adjustRightInd w:val="0"/>
        <w:snapToGrid w:val="0"/>
        <w:spacing w:line="360" w:lineRule="auto"/>
        <w:ind w:left="0" w:leftChars="0" w:firstLine="0" w:firstLineChars="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获取</w:t>
      </w:r>
      <w:r>
        <w:rPr>
          <w:rFonts w:hint="eastAsia" w:ascii="宋体" w:hAnsi="宋体" w:cs="宋体"/>
          <w:b/>
          <w:bCs/>
          <w:color w:val="auto"/>
          <w:sz w:val="24"/>
          <w:highlight w:val="none"/>
          <w:lang w:eastAsia="zh-CN"/>
        </w:rPr>
        <w:t>竞投文件</w:t>
      </w:r>
    </w:p>
    <w:p>
      <w:pPr>
        <w:numPr>
          <w:ilvl w:val="0"/>
          <w:numId w:val="7"/>
        </w:numPr>
        <w:autoSpaceDN w:val="0"/>
        <w:spacing w:line="360" w:lineRule="auto"/>
        <w:ind w:left="425" w:leftChars="0" w:hanging="5" w:firstLineChars="0"/>
        <w:jc w:val="left"/>
        <w:rPr>
          <w:rFonts w:hint="eastAsia" w:ascii="宋体" w:hAnsi="宋体" w:cs="宋体"/>
          <w:color w:val="auto"/>
          <w:sz w:val="24"/>
          <w:highlight w:val="none"/>
        </w:rPr>
      </w:pPr>
      <w:r>
        <w:rPr>
          <w:rFonts w:hint="eastAsia" w:ascii="宋体" w:hAnsi="宋体" w:cs="宋体"/>
          <w:color w:val="auto"/>
          <w:sz w:val="24"/>
          <w:highlight w:val="none"/>
        </w:rPr>
        <w:t>凡有意参加</w:t>
      </w:r>
      <w:r>
        <w:rPr>
          <w:rFonts w:hint="eastAsia" w:ascii="宋体" w:hAnsi="宋体" w:cs="宋体"/>
          <w:color w:val="auto"/>
          <w:sz w:val="24"/>
          <w:highlight w:val="none"/>
          <w:lang w:eastAsia="zh-CN"/>
        </w:rPr>
        <w:t>竞投</w:t>
      </w:r>
      <w:r>
        <w:rPr>
          <w:rFonts w:hint="eastAsia" w:ascii="宋体" w:hAnsi="宋体" w:cs="宋体"/>
          <w:color w:val="auto"/>
          <w:sz w:val="24"/>
          <w:highlight w:val="none"/>
        </w:rPr>
        <w:t>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，可于</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u w:val="none"/>
          <w:lang w:val="en-US" w:eastAsia="zh-CN"/>
        </w:rPr>
        <w:t>月31日</w:t>
      </w:r>
      <w:r>
        <w:rPr>
          <w:rFonts w:hint="eastAsia" w:ascii="宋体" w:hAnsi="宋体" w:cs="宋体"/>
          <w:color w:val="auto"/>
          <w:sz w:val="24"/>
          <w:highlight w:val="none"/>
        </w:rPr>
        <w:t>至</w:t>
      </w:r>
      <w:r>
        <w:rPr>
          <w:rFonts w:hint="eastAsia" w:ascii="宋体" w:hAnsi="宋体" w:cs="宋体"/>
          <w:color w:val="auto"/>
          <w:sz w:val="24"/>
          <w:highlight w:val="none"/>
          <w:lang w:eastAsia="zh-CN"/>
        </w:rPr>
        <w:t>竞投</w:t>
      </w:r>
      <w:r>
        <w:rPr>
          <w:rFonts w:hint="eastAsia" w:ascii="宋体" w:hAnsi="宋体" w:cs="宋体"/>
          <w:color w:val="auto"/>
          <w:sz w:val="24"/>
          <w:highlight w:val="none"/>
        </w:rPr>
        <w:t>截止时间前登录佛山市禅城区南庄镇人民政府网（http://www.chancheng.gov.cn/nanzhuang/）</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佛山市公共资源交易中心禅城分中心网（http://ccggzy.chancheng.gov.cn/）</w:t>
      </w:r>
      <w:r>
        <w:rPr>
          <w:rFonts w:hint="eastAsia" w:ascii="宋体" w:hAnsi="宋体" w:cs="宋体"/>
          <w:color w:val="auto"/>
          <w:sz w:val="24"/>
          <w:highlight w:val="none"/>
          <w:lang w:eastAsia="zh-CN"/>
        </w:rPr>
        <w:t>、招标代理机构网站（http://www.gdzczb.com/）</w:t>
      </w:r>
      <w:r>
        <w:rPr>
          <w:rFonts w:hint="eastAsia" w:ascii="宋体" w:hAnsi="宋体" w:cs="宋体"/>
          <w:color w:val="auto"/>
          <w:sz w:val="24"/>
          <w:highlight w:val="none"/>
        </w:rPr>
        <w:t>。下载</w:t>
      </w:r>
      <w:r>
        <w:rPr>
          <w:rFonts w:hint="eastAsia" w:ascii="宋体" w:hAnsi="宋体" w:cs="宋体"/>
          <w:color w:val="auto"/>
          <w:sz w:val="24"/>
          <w:highlight w:val="none"/>
          <w:lang w:eastAsia="zh-CN"/>
        </w:rPr>
        <w:t>竞投文件</w:t>
      </w:r>
      <w:r>
        <w:rPr>
          <w:rFonts w:hint="eastAsia" w:ascii="宋体" w:hAnsi="宋体" w:cs="宋体"/>
          <w:color w:val="auto"/>
          <w:sz w:val="24"/>
          <w:highlight w:val="none"/>
        </w:rPr>
        <w:t>等资料。</w:t>
      </w:r>
    </w:p>
    <w:p>
      <w:pPr>
        <w:numPr>
          <w:ilvl w:val="0"/>
          <w:numId w:val="7"/>
        </w:numPr>
        <w:autoSpaceDN w:val="0"/>
        <w:spacing w:line="360" w:lineRule="auto"/>
        <w:ind w:left="425" w:leftChars="0" w:hanging="5" w:firstLineChars="0"/>
        <w:jc w:val="left"/>
        <w:rPr>
          <w:rFonts w:hint="eastAsia" w:ascii="宋体" w:hAnsi="宋体" w:cs="宋体"/>
          <w:color w:val="auto"/>
          <w:sz w:val="24"/>
          <w:highlight w:val="none"/>
        </w:rPr>
      </w:pPr>
      <w:r>
        <w:rPr>
          <w:rFonts w:hint="eastAsia" w:ascii="宋体" w:hAnsi="宋体" w:cs="宋体"/>
          <w:color w:val="auto"/>
          <w:sz w:val="24"/>
          <w:highlight w:val="none"/>
          <w:lang w:eastAsia="zh-CN"/>
        </w:rPr>
        <w:t>竞投文件</w:t>
      </w:r>
      <w:r>
        <w:rPr>
          <w:rFonts w:hint="eastAsia" w:ascii="宋体" w:hAnsi="宋体" w:cs="宋体"/>
          <w:color w:val="auto"/>
          <w:sz w:val="24"/>
          <w:highlight w:val="none"/>
        </w:rPr>
        <w:t>一经在佛山市公共资源交易中心禅城分中心网发布，视作已发放给所有</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应及时下载电子版</w:t>
      </w:r>
      <w:r>
        <w:rPr>
          <w:rFonts w:hint="eastAsia" w:ascii="宋体" w:hAnsi="宋体" w:cs="宋体"/>
          <w:color w:val="auto"/>
          <w:sz w:val="24"/>
          <w:highlight w:val="none"/>
          <w:lang w:eastAsia="zh-CN"/>
        </w:rPr>
        <w:t>竞投文件</w:t>
      </w:r>
      <w:r>
        <w:rPr>
          <w:rFonts w:hint="eastAsia" w:ascii="宋体" w:hAnsi="宋体" w:cs="宋体"/>
          <w:color w:val="auto"/>
          <w:sz w:val="24"/>
          <w:highlight w:val="none"/>
        </w:rPr>
        <w:t>。否则所造成的一切后果由</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自负。</w:t>
      </w:r>
      <w:r>
        <w:rPr>
          <w:rFonts w:hint="eastAsia" w:ascii="宋体" w:hAnsi="宋体" w:cs="宋体"/>
          <w:color w:val="auto"/>
          <w:sz w:val="24"/>
          <w:highlight w:val="none"/>
          <w:lang w:eastAsia="zh-CN"/>
        </w:rPr>
        <w:t>竞投文件</w:t>
      </w:r>
      <w:r>
        <w:rPr>
          <w:rFonts w:hint="eastAsia" w:ascii="宋体" w:hAnsi="宋体" w:cs="宋体"/>
          <w:color w:val="auto"/>
          <w:sz w:val="24"/>
          <w:highlight w:val="none"/>
        </w:rPr>
        <w:t>每套售价</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00元（人民币），在开标当天收取，售后不退。</w:t>
      </w:r>
    </w:p>
    <w:p>
      <w:pPr>
        <w:numPr>
          <w:ilvl w:val="0"/>
          <w:numId w:val="4"/>
        </w:numPr>
        <w:autoSpaceDE w:val="0"/>
        <w:autoSpaceDN w:val="0"/>
        <w:adjustRightInd w:val="0"/>
        <w:snapToGrid w:val="0"/>
        <w:spacing w:line="360" w:lineRule="auto"/>
        <w:ind w:left="0" w:leftChars="0" w:firstLine="0" w:firstLineChars="0"/>
        <w:rPr>
          <w:rFonts w:hint="eastAsia" w:ascii="宋体" w:hAnsi="宋体" w:cs="宋体"/>
          <w:b/>
          <w:bCs/>
          <w:color w:val="auto"/>
          <w:sz w:val="24"/>
          <w:highlight w:val="none"/>
        </w:rPr>
      </w:pPr>
      <w:r>
        <w:rPr>
          <w:rFonts w:hint="eastAsia" w:ascii="宋体" w:hAnsi="宋体" w:cs="宋体"/>
          <w:b/>
          <w:bCs/>
          <w:color w:val="auto"/>
          <w:sz w:val="24"/>
          <w:highlight w:val="none"/>
        </w:rPr>
        <w:t>提交</w:t>
      </w:r>
      <w:r>
        <w:rPr>
          <w:rFonts w:hint="eastAsia" w:ascii="宋体" w:hAnsi="宋体" w:cs="宋体"/>
          <w:b/>
          <w:bCs/>
          <w:color w:val="auto"/>
          <w:sz w:val="24"/>
          <w:highlight w:val="none"/>
          <w:lang w:eastAsia="zh-CN"/>
        </w:rPr>
        <w:t>资格审查</w:t>
      </w:r>
      <w:r>
        <w:rPr>
          <w:rFonts w:hint="eastAsia" w:ascii="宋体" w:hAnsi="宋体" w:cs="宋体"/>
          <w:b/>
          <w:bCs/>
          <w:color w:val="auto"/>
          <w:sz w:val="24"/>
          <w:highlight w:val="none"/>
        </w:rPr>
        <w:t>文件截止时间、开标时间和地点</w:t>
      </w:r>
    </w:p>
    <w:p>
      <w:pPr>
        <w:numPr>
          <w:ilvl w:val="0"/>
          <w:numId w:val="8"/>
        </w:numPr>
        <w:autoSpaceDN w:val="0"/>
        <w:spacing w:line="360" w:lineRule="auto"/>
        <w:ind w:left="425" w:leftChars="0" w:hanging="5" w:firstLineChars="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资格审查</w:t>
      </w:r>
      <w:r>
        <w:rPr>
          <w:rFonts w:hint="eastAsia" w:ascii="宋体" w:hAnsi="宋体"/>
          <w:color w:val="auto"/>
          <w:sz w:val="24"/>
          <w:highlight w:val="none"/>
          <w:lang w:eastAsia="zh-CN"/>
        </w:rPr>
        <w:t>文件递交</w:t>
      </w:r>
      <w:r>
        <w:rPr>
          <w:rFonts w:hint="eastAsia" w:ascii="宋体" w:hAnsi="宋体"/>
          <w:color w:val="auto"/>
          <w:sz w:val="24"/>
          <w:highlight w:val="none"/>
        </w:rPr>
        <w:t>截止时间：202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u w:val="none"/>
          <w:lang w:val="en-US" w:eastAsia="zh-CN"/>
        </w:rPr>
        <w:t>月8日</w:t>
      </w:r>
      <w:r>
        <w:rPr>
          <w:rFonts w:hint="eastAsia" w:ascii="宋体" w:hAnsi="宋体"/>
          <w:color w:val="auto"/>
          <w:sz w:val="24"/>
          <w:highlight w:val="none"/>
          <w:lang w:val="en-US" w:eastAsia="zh-CN"/>
        </w:rPr>
        <w:t>9</w:t>
      </w:r>
      <w:r>
        <w:rPr>
          <w:rFonts w:hint="eastAsia" w:ascii="宋体" w:hAnsi="宋体" w:cs="宋体"/>
          <w:color w:val="auto"/>
          <w:sz w:val="24"/>
          <w:highlight w:val="none"/>
        </w:rPr>
        <w:t>点</w:t>
      </w:r>
      <w:r>
        <w:rPr>
          <w:rFonts w:hint="eastAsia" w:ascii="宋体" w:hAnsi="宋体"/>
          <w:color w:val="auto"/>
          <w:sz w:val="24"/>
          <w:highlight w:val="none"/>
          <w:lang w:val="en-US" w:eastAsia="zh-CN"/>
        </w:rPr>
        <w:t>00</w:t>
      </w:r>
      <w:r>
        <w:rPr>
          <w:rFonts w:hint="eastAsia" w:ascii="宋体" w:hAnsi="宋体" w:cs="宋体"/>
          <w:color w:val="auto"/>
          <w:sz w:val="24"/>
          <w:highlight w:val="none"/>
        </w:rPr>
        <w:t>分（北京时间）</w:t>
      </w:r>
      <w:r>
        <w:rPr>
          <w:rFonts w:hint="eastAsia" w:ascii="宋体" w:hAnsi="宋体" w:cs="宋体"/>
          <w:color w:val="auto"/>
          <w:sz w:val="24"/>
          <w:highlight w:val="none"/>
          <w:lang w:val="en-US" w:eastAsia="zh-CN"/>
        </w:rPr>
        <w:t>。</w:t>
      </w:r>
    </w:p>
    <w:p>
      <w:pPr>
        <w:numPr>
          <w:ilvl w:val="0"/>
          <w:numId w:val="8"/>
        </w:numPr>
        <w:autoSpaceDN w:val="0"/>
        <w:spacing w:line="360" w:lineRule="auto"/>
        <w:ind w:left="425" w:leftChars="0" w:hanging="5" w:firstLineChars="0"/>
        <w:jc w:val="left"/>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资格</w:t>
      </w:r>
      <w:r>
        <w:rPr>
          <w:rFonts w:hint="eastAsia" w:ascii="宋体" w:hAnsi="宋体" w:cs="宋体"/>
          <w:color w:val="auto"/>
          <w:sz w:val="24"/>
          <w:highlight w:val="none"/>
          <w:lang w:eastAsia="zh-CN"/>
        </w:rPr>
        <w:t>审查</w:t>
      </w:r>
      <w:r>
        <w:rPr>
          <w:rFonts w:hint="eastAsia" w:ascii="宋体" w:hAnsi="宋体"/>
          <w:color w:val="auto"/>
          <w:sz w:val="24"/>
          <w:highlight w:val="none"/>
        </w:rPr>
        <w:t>时间：202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u w:val="none"/>
          <w:lang w:val="en-US" w:eastAsia="zh-CN"/>
        </w:rPr>
        <w:t>月8日</w:t>
      </w:r>
      <w:r>
        <w:rPr>
          <w:rFonts w:hint="eastAsia" w:ascii="宋体" w:hAnsi="宋体"/>
          <w:color w:val="auto"/>
          <w:sz w:val="24"/>
          <w:highlight w:val="none"/>
          <w:lang w:val="en-US" w:eastAsia="zh-CN"/>
        </w:rPr>
        <w:t>9</w:t>
      </w:r>
      <w:r>
        <w:rPr>
          <w:rFonts w:hint="eastAsia" w:ascii="宋体" w:hAnsi="宋体"/>
          <w:color w:val="auto"/>
          <w:sz w:val="24"/>
          <w:highlight w:val="none"/>
        </w:rPr>
        <w:t>点</w:t>
      </w:r>
      <w:r>
        <w:rPr>
          <w:rFonts w:hint="eastAsia" w:ascii="宋体" w:hAnsi="宋体"/>
          <w:color w:val="auto"/>
          <w:sz w:val="24"/>
          <w:highlight w:val="none"/>
          <w:lang w:val="en-US" w:eastAsia="zh-CN"/>
        </w:rPr>
        <w:t>00</w:t>
      </w:r>
      <w:r>
        <w:rPr>
          <w:rFonts w:hint="eastAsia" w:ascii="宋体" w:hAnsi="宋体"/>
          <w:color w:val="auto"/>
          <w:sz w:val="24"/>
          <w:highlight w:val="none"/>
        </w:rPr>
        <w:t>分（北京时间）</w:t>
      </w:r>
      <w:r>
        <w:rPr>
          <w:rFonts w:hint="eastAsia" w:ascii="宋体" w:hAnsi="宋体"/>
          <w:color w:val="auto"/>
          <w:sz w:val="24"/>
          <w:highlight w:val="none"/>
          <w:lang w:eastAsia="zh-CN"/>
        </w:rPr>
        <w:t>（</w:t>
      </w:r>
      <w:r>
        <w:rPr>
          <w:rFonts w:hint="eastAsia" w:ascii="宋体" w:hAnsi="宋体" w:cs="宋体"/>
          <w:color w:val="auto"/>
          <w:sz w:val="24"/>
          <w:highlight w:val="none"/>
          <w:lang w:eastAsia="zh-CN"/>
        </w:rPr>
        <w:t>资格审查</w:t>
      </w:r>
      <w:r>
        <w:rPr>
          <w:rFonts w:hint="eastAsia" w:ascii="宋体" w:hAnsi="宋体"/>
          <w:color w:val="auto"/>
          <w:sz w:val="24"/>
          <w:highlight w:val="none"/>
        </w:rPr>
        <w:t>文件递交截止</w:t>
      </w:r>
      <w:r>
        <w:rPr>
          <w:rFonts w:hint="eastAsia" w:ascii="宋体" w:hAnsi="宋体"/>
          <w:color w:val="auto"/>
          <w:sz w:val="24"/>
          <w:highlight w:val="none"/>
          <w:lang w:eastAsia="zh-CN"/>
        </w:rPr>
        <w:t>后马上进行资格审查）。</w:t>
      </w:r>
    </w:p>
    <w:p>
      <w:pPr>
        <w:numPr>
          <w:ilvl w:val="0"/>
          <w:numId w:val="8"/>
        </w:numPr>
        <w:autoSpaceDN w:val="0"/>
        <w:spacing w:line="360" w:lineRule="auto"/>
        <w:ind w:left="425" w:leftChars="0" w:hanging="5" w:firstLineChars="0"/>
        <w:jc w:val="left"/>
        <w:rPr>
          <w:rFonts w:hint="eastAsia" w:ascii="宋体" w:hAnsi="宋体"/>
          <w:color w:val="auto"/>
          <w:sz w:val="24"/>
          <w:highlight w:val="none"/>
        </w:rPr>
      </w:pPr>
      <w:r>
        <w:rPr>
          <w:rFonts w:hint="eastAsia" w:ascii="宋体" w:hAnsi="宋体"/>
          <w:color w:val="auto"/>
          <w:sz w:val="24"/>
          <w:highlight w:val="none"/>
          <w:lang w:eastAsia="zh-CN"/>
        </w:rPr>
        <w:t>竞投地点</w:t>
      </w:r>
      <w:r>
        <w:rPr>
          <w:rFonts w:hint="eastAsia" w:ascii="宋体" w:hAnsi="宋体"/>
          <w:color w:val="auto"/>
          <w:sz w:val="24"/>
          <w:highlight w:val="none"/>
        </w:rPr>
        <w:t>：佛山市禅城区南庄镇紫洞南路106号南庄商业广场A1座四楼南庄镇公共资源交易所开标室（接受</w:t>
      </w:r>
      <w:r>
        <w:rPr>
          <w:rFonts w:hint="eastAsia" w:ascii="宋体" w:hAnsi="宋体"/>
          <w:color w:val="auto"/>
          <w:sz w:val="24"/>
          <w:highlight w:val="none"/>
          <w:lang w:eastAsia="zh-CN"/>
        </w:rPr>
        <w:t>竞投</w:t>
      </w:r>
      <w:r>
        <w:rPr>
          <w:rFonts w:hint="eastAsia" w:ascii="宋体" w:hAnsi="宋体"/>
          <w:color w:val="auto"/>
          <w:sz w:val="24"/>
          <w:highlight w:val="none"/>
        </w:rPr>
        <w:t>文件时间：202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u w:val="none"/>
          <w:lang w:val="en-US" w:eastAsia="zh-CN"/>
        </w:rPr>
        <w:t>月8日</w:t>
      </w:r>
      <w:r>
        <w:rPr>
          <w:rFonts w:hint="eastAsia" w:ascii="宋体" w:hAnsi="宋体"/>
          <w:color w:val="auto"/>
          <w:sz w:val="24"/>
          <w:highlight w:val="none"/>
          <w:lang w:val="en-US" w:eastAsia="zh-CN"/>
        </w:rPr>
        <w:t>8</w:t>
      </w:r>
      <w:r>
        <w:rPr>
          <w:rFonts w:hint="eastAsia" w:ascii="宋体" w:hAnsi="宋体"/>
          <w:color w:val="auto"/>
          <w:sz w:val="24"/>
          <w:highlight w:val="none"/>
        </w:rPr>
        <w:t>时</w:t>
      </w:r>
      <w:r>
        <w:rPr>
          <w:rFonts w:hint="eastAsia" w:ascii="宋体" w:hAnsi="宋体"/>
          <w:color w:val="auto"/>
          <w:sz w:val="24"/>
          <w:highlight w:val="none"/>
          <w:lang w:val="en-US" w:eastAsia="zh-CN"/>
        </w:rPr>
        <w:t>30</w:t>
      </w:r>
      <w:r>
        <w:rPr>
          <w:rFonts w:hint="eastAsia" w:ascii="宋体" w:hAnsi="宋体"/>
          <w:color w:val="auto"/>
          <w:sz w:val="24"/>
          <w:highlight w:val="none"/>
        </w:rPr>
        <w:t>分至202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u w:val="none"/>
          <w:lang w:val="en-US" w:eastAsia="zh-CN"/>
        </w:rPr>
        <w:t>月8日</w:t>
      </w:r>
      <w:r>
        <w:rPr>
          <w:rFonts w:hint="eastAsia" w:ascii="宋体" w:hAnsi="宋体"/>
          <w:color w:val="auto"/>
          <w:sz w:val="24"/>
          <w:highlight w:val="none"/>
          <w:lang w:val="en-US" w:eastAsia="zh-CN"/>
        </w:rPr>
        <w:t>9</w:t>
      </w:r>
      <w:r>
        <w:rPr>
          <w:rFonts w:hint="eastAsia" w:ascii="宋体" w:hAnsi="宋体"/>
          <w:color w:val="auto"/>
          <w:sz w:val="24"/>
          <w:highlight w:val="none"/>
        </w:rPr>
        <w:t>时</w:t>
      </w:r>
      <w:r>
        <w:rPr>
          <w:rFonts w:hint="eastAsia" w:ascii="宋体" w:hAnsi="宋体"/>
          <w:color w:val="auto"/>
          <w:sz w:val="24"/>
          <w:highlight w:val="none"/>
          <w:lang w:val="en-US" w:eastAsia="zh-CN"/>
        </w:rPr>
        <w:t>00</w:t>
      </w:r>
      <w:r>
        <w:rPr>
          <w:rFonts w:hint="eastAsia" w:ascii="宋体" w:hAnsi="宋体"/>
          <w:color w:val="auto"/>
          <w:sz w:val="24"/>
          <w:highlight w:val="none"/>
        </w:rPr>
        <w:t>分，</w:t>
      </w:r>
      <w:r>
        <w:rPr>
          <w:rFonts w:hint="eastAsia" w:ascii="宋体" w:hAnsi="宋体" w:cs="仿宋_GB2312"/>
          <w:color w:val="auto"/>
          <w:kern w:val="0"/>
          <w:sz w:val="24"/>
          <w:highlight w:val="none"/>
        </w:rPr>
        <w:t>逾期送达或未送达指定地点的</w:t>
      </w:r>
      <w:r>
        <w:rPr>
          <w:rFonts w:hint="eastAsia" w:ascii="宋体" w:hAnsi="宋体" w:cs="仿宋_GB2312"/>
          <w:color w:val="auto"/>
          <w:kern w:val="0"/>
          <w:sz w:val="24"/>
          <w:highlight w:val="none"/>
          <w:lang w:eastAsia="zh-CN"/>
        </w:rPr>
        <w:t>竞投</w:t>
      </w:r>
      <w:r>
        <w:rPr>
          <w:rFonts w:hint="eastAsia" w:ascii="宋体" w:hAnsi="宋体" w:cs="仿宋_GB2312"/>
          <w:color w:val="auto"/>
          <w:kern w:val="0"/>
          <w:sz w:val="24"/>
          <w:highlight w:val="none"/>
        </w:rPr>
        <w:t>文件，招标人将不予受理</w:t>
      </w:r>
      <w:r>
        <w:rPr>
          <w:rFonts w:hint="eastAsia" w:ascii="宋体" w:hAnsi="宋体"/>
          <w:color w:val="auto"/>
          <w:sz w:val="24"/>
          <w:highlight w:val="none"/>
        </w:rPr>
        <w:t>）。</w:t>
      </w:r>
    </w:p>
    <w:p>
      <w:pPr>
        <w:numPr>
          <w:ilvl w:val="0"/>
          <w:numId w:val="4"/>
        </w:numPr>
        <w:autoSpaceDE w:val="0"/>
        <w:autoSpaceDN w:val="0"/>
        <w:adjustRightInd w:val="0"/>
        <w:snapToGrid w:val="0"/>
        <w:spacing w:line="360" w:lineRule="auto"/>
        <w:ind w:left="0" w:leftChars="0" w:firstLine="0" w:firstLineChars="0"/>
        <w:rPr>
          <w:rFonts w:ascii="宋体" w:hAnsi="宋体" w:cs="宋体"/>
          <w:b/>
          <w:bCs/>
          <w:color w:val="auto"/>
          <w:sz w:val="24"/>
          <w:highlight w:val="none"/>
        </w:rPr>
      </w:pPr>
      <w:r>
        <w:rPr>
          <w:rFonts w:hint="eastAsia" w:ascii="宋体" w:hAnsi="宋体" w:cs="宋体"/>
          <w:b/>
          <w:bCs/>
          <w:color w:val="auto"/>
          <w:sz w:val="24"/>
          <w:highlight w:val="none"/>
        </w:rPr>
        <w:t>公告期限</w:t>
      </w:r>
    </w:p>
    <w:p>
      <w:pPr>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numPr>
          <w:ilvl w:val="0"/>
          <w:numId w:val="4"/>
        </w:numPr>
        <w:autoSpaceDE w:val="0"/>
        <w:autoSpaceDN w:val="0"/>
        <w:adjustRightInd w:val="0"/>
        <w:snapToGrid w:val="0"/>
        <w:spacing w:line="360" w:lineRule="auto"/>
        <w:ind w:left="0" w:leftChars="0" w:firstLine="0" w:firstLineChars="0"/>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eastAsia="zh-CN"/>
        </w:rPr>
        <w:t>竞投方式：采用一次性报价的暗标方式，价高者得的原则确定中标人，</w:t>
      </w:r>
      <w:r>
        <w:rPr>
          <w:rFonts w:hint="eastAsia" w:ascii="宋体" w:hAnsi="宋体" w:eastAsia="宋体" w:cs="宋体"/>
          <w:b/>
          <w:bCs/>
          <w:color w:val="auto"/>
          <w:kern w:val="2"/>
          <w:sz w:val="24"/>
          <w:szCs w:val="24"/>
          <w:highlight w:val="none"/>
          <w:lang w:val="en-US" w:eastAsia="zh-CN"/>
        </w:rPr>
        <w:t>当有效投标人不足三家时，重新组织</w:t>
      </w:r>
      <w:r>
        <w:rPr>
          <w:rFonts w:hint="eastAsia" w:ascii="宋体" w:hAnsi="宋体" w:cs="宋体"/>
          <w:b/>
          <w:bCs/>
          <w:color w:val="auto"/>
          <w:kern w:val="2"/>
          <w:sz w:val="24"/>
          <w:szCs w:val="24"/>
          <w:highlight w:val="none"/>
          <w:lang w:val="en-US" w:eastAsia="zh-CN"/>
        </w:rPr>
        <w:t>竞投</w:t>
      </w:r>
      <w:r>
        <w:rPr>
          <w:rFonts w:hint="eastAsia" w:ascii="宋体" w:hAnsi="宋体" w:cs="宋体"/>
          <w:b/>
          <w:bCs/>
          <w:color w:val="auto"/>
          <w:sz w:val="24"/>
          <w:highlight w:val="none"/>
          <w:lang w:eastAsia="zh-CN"/>
        </w:rPr>
        <w:t>。投标人</w:t>
      </w:r>
      <w:r>
        <w:rPr>
          <w:rFonts w:hint="eastAsia" w:ascii="宋体" w:hAnsi="宋体" w:cs="宋体"/>
          <w:b/>
          <w:bCs/>
          <w:color w:val="auto"/>
          <w:sz w:val="24"/>
          <w:highlight w:val="none"/>
        </w:rPr>
        <w:t>所报价格为</w:t>
      </w:r>
      <w:r>
        <w:rPr>
          <w:rFonts w:hint="eastAsia" w:ascii="宋体" w:hAnsi="宋体" w:cs="宋体"/>
          <w:b/>
          <w:bCs/>
          <w:color w:val="auto"/>
          <w:sz w:val="24"/>
          <w:highlight w:val="none"/>
          <w:lang w:eastAsia="zh-CN"/>
        </w:rPr>
        <w:t>向招标人支付管理费用</w:t>
      </w:r>
      <w:r>
        <w:rPr>
          <w:rFonts w:hint="eastAsia" w:ascii="宋体" w:hAnsi="宋体" w:cs="宋体"/>
          <w:b/>
          <w:bCs/>
          <w:color w:val="auto"/>
          <w:sz w:val="24"/>
          <w:highlight w:val="none"/>
          <w:lang w:val="en-US" w:eastAsia="zh-CN"/>
        </w:rPr>
        <w:t>。</w:t>
      </w:r>
    </w:p>
    <w:p>
      <w:pPr>
        <w:numPr>
          <w:ilvl w:val="0"/>
          <w:numId w:val="4"/>
        </w:numPr>
        <w:autoSpaceDE w:val="0"/>
        <w:autoSpaceDN w:val="0"/>
        <w:adjustRightInd w:val="0"/>
        <w:snapToGrid w:val="0"/>
        <w:spacing w:line="360" w:lineRule="auto"/>
        <w:ind w:left="0" w:leftChars="0" w:firstLine="0" w:firstLineChars="0"/>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对本次招标提出询问，请按以下方式联系</w:t>
      </w:r>
    </w:p>
    <w:p>
      <w:pPr>
        <w:numPr>
          <w:ilvl w:val="0"/>
          <w:numId w:val="9"/>
        </w:numPr>
        <w:autoSpaceDN w:val="0"/>
        <w:adjustRightInd/>
        <w:snapToGrid/>
        <w:spacing w:line="360" w:lineRule="auto"/>
        <w:ind w:left="425" w:hanging="5" w:firstLineChars="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信息</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名称：</w:t>
      </w:r>
      <w:r>
        <w:rPr>
          <w:rFonts w:hint="eastAsia" w:ascii="宋体" w:hAnsi="宋体"/>
          <w:color w:val="auto"/>
          <w:sz w:val="24"/>
          <w:szCs w:val="24"/>
          <w:highlight w:val="none"/>
          <w:lang w:eastAsia="zh-CN"/>
        </w:rPr>
        <w:t>佛山市禅城区南庄镇吉利村竹甫经济合作社</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地址：佛山市禅城区南庄镇</w:t>
      </w:r>
      <w:r>
        <w:rPr>
          <w:rFonts w:hint="eastAsia" w:ascii="宋体" w:hAnsi="宋体"/>
          <w:color w:val="auto"/>
          <w:sz w:val="24"/>
          <w:szCs w:val="24"/>
          <w:highlight w:val="none"/>
          <w:lang w:val="en-US" w:eastAsia="zh-CN"/>
        </w:rPr>
        <w:t>吉利村</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联系</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w:t>
      </w:r>
      <w:r>
        <w:rPr>
          <w:rFonts w:hint="eastAsia"/>
          <w:color w:val="auto"/>
          <w:highlight w:val="none"/>
        </w:rPr>
        <w:t>关先生</w:t>
      </w:r>
    </w:p>
    <w:p>
      <w:pPr>
        <w:spacing w:line="360" w:lineRule="auto"/>
        <w:ind w:firstLine="480" w:firstLineChars="200"/>
        <w:outlineLvl w:val="9"/>
        <w:rPr>
          <w:rFonts w:hint="default" w:ascii="宋体" w:hAnsi="宋体" w:eastAsia="宋体"/>
          <w:color w:val="auto"/>
          <w:sz w:val="24"/>
          <w:szCs w:val="24"/>
          <w:highlight w:val="none"/>
          <w:lang w:val="en-US" w:eastAsia="zh-CN"/>
        </w:rPr>
      </w:pPr>
      <w:bookmarkStart w:id="11" w:name="_Toc24077"/>
      <w:r>
        <w:rPr>
          <w:rFonts w:hint="eastAsia" w:ascii="宋体" w:hAnsi="宋体"/>
          <w:color w:val="auto"/>
          <w:sz w:val="24"/>
          <w:szCs w:val="24"/>
          <w:highlight w:val="none"/>
        </w:rPr>
        <w:t>联系方式：</w:t>
      </w:r>
      <w:bookmarkEnd w:id="11"/>
      <w:r>
        <w:rPr>
          <w:rFonts w:hint="eastAsia" w:ascii="宋体" w:hAnsi="宋体"/>
          <w:color w:val="auto"/>
          <w:sz w:val="24"/>
          <w:szCs w:val="24"/>
          <w:highlight w:val="none"/>
          <w:lang w:val="en-US" w:eastAsia="zh-CN"/>
        </w:rPr>
        <w:t>0757-85398026</w:t>
      </w:r>
    </w:p>
    <w:p>
      <w:pPr>
        <w:numPr>
          <w:ilvl w:val="0"/>
          <w:numId w:val="9"/>
        </w:numPr>
        <w:autoSpaceDN w:val="0"/>
        <w:adjustRightInd/>
        <w:snapToGrid/>
        <w:spacing w:line="360" w:lineRule="auto"/>
        <w:ind w:left="425" w:hanging="5" w:firstLineChars="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招标代理机构</w:t>
      </w:r>
      <w:r>
        <w:rPr>
          <w:rFonts w:hint="eastAsia" w:ascii="宋体" w:hAnsi="宋体"/>
          <w:color w:val="auto"/>
          <w:sz w:val="24"/>
          <w:szCs w:val="24"/>
          <w:highlight w:val="none"/>
        </w:rPr>
        <w:t>信息</w:t>
      </w:r>
    </w:p>
    <w:p>
      <w:pPr>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名称：</w:t>
      </w:r>
      <w:r>
        <w:rPr>
          <w:rFonts w:hint="eastAsia" w:ascii="宋体" w:hAnsi="宋体"/>
          <w:color w:val="auto"/>
          <w:sz w:val="24"/>
          <w:szCs w:val="24"/>
          <w:highlight w:val="none"/>
          <w:lang w:eastAsia="zh-CN"/>
        </w:rPr>
        <w:t>广东中采招标有限公司</w:t>
      </w:r>
    </w:p>
    <w:p>
      <w:pPr>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地址：</w:t>
      </w:r>
      <w:r>
        <w:rPr>
          <w:rFonts w:hint="eastAsia" w:ascii="宋体" w:hAnsi="宋体"/>
          <w:color w:val="auto"/>
          <w:sz w:val="24"/>
          <w:szCs w:val="24"/>
          <w:highlight w:val="none"/>
          <w:lang w:eastAsia="zh-CN"/>
        </w:rPr>
        <w:t>佛山市禅城区文华北路223号之一栋5层525、526、527单元</w:t>
      </w:r>
    </w:p>
    <w:p>
      <w:pPr>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联系方式：</w:t>
      </w:r>
      <w:r>
        <w:rPr>
          <w:rFonts w:hint="eastAsia" w:ascii="宋体" w:hAnsi="宋体"/>
          <w:color w:val="auto"/>
          <w:sz w:val="24"/>
          <w:szCs w:val="24"/>
          <w:highlight w:val="none"/>
          <w:lang w:val="en-US" w:eastAsia="zh-CN"/>
        </w:rPr>
        <w:t>0757-81993027</w:t>
      </w:r>
    </w:p>
    <w:p>
      <w:pPr>
        <w:numPr>
          <w:ilvl w:val="0"/>
          <w:numId w:val="9"/>
        </w:numPr>
        <w:autoSpaceDN w:val="0"/>
        <w:adjustRightInd/>
        <w:snapToGrid/>
        <w:spacing w:line="360" w:lineRule="auto"/>
        <w:ind w:left="425" w:hanging="5" w:firstLineChars="0"/>
        <w:jc w:val="left"/>
        <w:rPr>
          <w:rFonts w:hint="eastAsia" w:ascii="宋体" w:hAnsi="宋体"/>
          <w:color w:val="auto"/>
          <w:sz w:val="24"/>
          <w:szCs w:val="24"/>
          <w:highlight w:val="none"/>
        </w:rPr>
      </w:pPr>
      <w:r>
        <w:rPr>
          <w:rFonts w:hint="eastAsia" w:ascii="宋体" w:hAnsi="宋体"/>
          <w:color w:val="auto"/>
          <w:sz w:val="24"/>
          <w:szCs w:val="24"/>
          <w:highlight w:val="none"/>
        </w:rPr>
        <w:t>项目联系方式</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项目联系人：</w:t>
      </w:r>
      <w:r>
        <w:rPr>
          <w:rFonts w:hint="eastAsia" w:ascii="宋体" w:hAnsi="宋体"/>
          <w:color w:val="auto"/>
          <w:sz w:val="24"/>
          <w:szCs w:val="24"/>
          <w:highlight w:val="none"/>
          <w:lang w:val="en-US" w:eastAsia="zh-CN"/>
        </w:rPr>
        <w:t>夏</w:t>
      </w:r>
      <w:r>
        <w:rPr>
          <w:rFonts w:hint="eastAsia" w:ascii="宋体" w:hAnsi="宋体"/>
          <w:color w:val="auto"/>
          <w:sz w:val="24"/>
          <w:szCs w:val="24"/>
          <w:highlight w:val="none"/>
        </w:rPr>
        <w:t>先生</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联系方式：</w:t>
      </w:r>
      <w:r>
        <w:rPr>
          <w:rFonts w:hint="eastAsia" w:ascii="宋体" w:hAnsi="宋体"/>
          <w:color w:val="auto"/>
          <w:sz w:val="24"/>
          <w:szCs w:val="24"/>
          <w:highlight w:val="none"/>
          <w:lang w:val="en-US" w:eastAsia="zh-CN"/>
        </w:rPr>
        <w:t>0757-81993027</w:t>
      </w:r>
    </w:p>
    <w:p>
      <w:pPr>
        <w:spacing w:line="360" w:lineRule="auto"/>
        <w:ind w:firstLine="480" w:firstLineChars="200"/>
        <w:jc w:val="left"/>
        <w:rPr>
          <w:rFonts w:hint="eastAsia" w:ascii="宋体" w:eastAsia="宋体"/>
          <w:color w:val="auto"/>
          <w:sz w:val="24"/>
          <w:highlight w:val="none"/>
          <w:lang w:eastAsia="zh-CN"/>
        </w:rPr>
      </w:pPr>
    </w:p>
    <w:p>
      <w:pPr>
        <w:spacing w:after="72" w:afterLines="30" w:line="360" w:lineRule="auto"/>
        <w:ind w:firstLine="540" w:firstLineChars="225"/>
        <w:jc w:val="right"/>
        <w:rPr>
          <w:rFonts w:hint="eastAsia" w:ascii="宋体" w:eastAsia="宋体"/>
          <w:color w:val="auto"/>
          <w:sz w:val="24"/>
          <w:highlight w:val="none"/>
          <w:lang w:eastAsia="zh-CN"/>
        </w:rPr>
      </w:pPr>
      <w:r>
        <w:rPr>
          <w:rFonts w:hint="eastAsia" w:ascii="宋体" w:hAnsi="宋体"/>
          <w:color w:val="auto"/>
          <w:sz w:val="24"/>
          <w:highlight w:val="none"/>
          <w:lang w:eastAsia="zh-CN"/>
        </w:rPr>
        <w:t>广东中采招标有限公司</w:t>
      </w:r>
    </w:p>
    <w:p>
      <w:pPr>
        <w:spacing w:after="72" w:afterLines="30" w:line="360" w:lineRule="auto"/>
        <w:ind w:firstLine="540" w:firstLineChars="225"/>
        <w:jc w:val="right"/>
        <w:rPr>
          <w:rFonts w:hint="eastAsia" w:ascii="宋体" w:hAnsi="宋体"/>
          <w:color w:val="auto"/>
          <w:sz w:val="24"/>
          <w:highlight w:val="none"/>
          <w:u w:val="none"/>
        </w:rPr>
      </w:pP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u w:val="none"/>
        </w:rPr>
        <w:t>月</w:t>
      </w:r>
      <w:r>
        <w:rPr>
          <w:rFonts w:hint="eastAsia" w:ascii="宋体" w:hAnsi="宋体"/>
          <w:color w:val="auto"/>
          <w:sz w:val="24"/>
          <w:highlight w:val="none"/>
          <w:u w:val="none"/>
          <w:lang w:val="en-US" w:eastAsia="zh-CN"/>
        </w:rPr>
        <w:t>31</w:t>
      </w:r>
      <w:r>
        <w:rPr>
          <w:rFonts w:hint="eastAsia" w:ascii="宋体" w:hAnsi="宋体"/>
          <w:color w:val="auto"/>
          <w:sz w:val="24"/>
          <w:highlight w:val="none"/>
          <w:u w:val="none"/>
        </w:rPr>
        <w:t>日</w:t>
      </w:r>
      <w:bookmarkStart w:id="12" w:name="_Toc334432587"/>
    </w:p>
    <w:p>
      <w:pPr>
        <w:rPr>
          <w:rFonts w:hint="eastAsia" w:ascii="宋体" w:hAnsi="宋体"/>
          <w:color w:val="auto"/>
          <w:sz w:val="24"/>
          <w:highlight w:val="none"/>
          <w:u w:val="none"/>
        </w:rPr>
      </w:pPr>
      <w:r>
        <w:rPr>
          <w:rFonts w:hint="eastAsia" w:ascii="宋体" w:hAnsi="宋体"/>
          <w:color w:val="auto"/>
          <w:sz w:val="24"/>
          <w:highlight w:val="none"/>
          <w:u w:val="none"/>
        </w:rPr>
        <w:br w:type="page"/>
      </w:r>
    </w:p>
    <w:p>
      <w:pPr>
        <w:pStyle w:val="2"/>
        <w:rPr>
          <w:color w:val="auto"/>
          <w:highlight w:val="none"/>
        </w:rPr>
        <w:sectPr>
          <w:footerReference r:id="rId5" w:type="default"/>
          <w:pgSz w:w="11850" w:h="16783"/>
          <w:pgMar w:top="1134" w:right="1134" w:bottom="1134" w:left="1417" w:header="573" w:footer="584" w:gutter="0"/>
          <w:pgBorders>
            <w:top w:val="none" w:sz="0" w:space="0"/>
            <w:left w:val="none" w:sz="0" w:space="0"/>
            <w:bottom w:val="none" w:sz="0" w:space="0"/>
            <w:right w:val="none" w:sz="0" w:space="0"/>
          </w:pgBorders>
          <w:pgNumType w:fmt="decimal"/>
          <w:cols w:space="0" w:num="1"/>
          <w:rtlGutter w:val="0"/>
          <w:docGrid w:linePitch="0" w:charSpace="0"/>
        </w:sectPr>
      </w:pPr>
    </w:p>
    <w:p>
      <w:pPr>
        <w:spacing w:after="120" w:afterLines="50" w:line="360" w:lineRule="auto"/>
        <w:jc w:val="center"/>
        <w:outlineLvl w:val="0"/>
        <w:rPr>
          <w:rFonts w:hint="eastAsia" w:ascii="宋体" w:hAnsi="宋体"/>
          <w:b/>
          <w:color w:val="auto"/>
          <w:sz w:val="36"/>
          <w:szCs w:val="36"/>
          <w:highlight w:val="none"/>
        </w:rPr>
      </w:pPr>
      <w:bookmarkStart w:id="13" w:name="_Toc19575"/>
      <w:bookmarkStart w:id="14" w:name="_Toc21591"/>
      <w:bookmarkStart w:id="15" w:name="_Toc24772"/>
      <w:bookmarkStart w:id="16" w:name="_Toc7214"/>
      <w:r>
        <w:rPr>
          <w:rFonts w:hint="eastAsia" w:ascii="宋体" w:hAnsi="宋体"/>
          <w:b/>
          <w:color w:val="auto"/>
          <w:sz w:val="36"/>
          <w:szCs w:val="36"/>
          <w:highlight w:val="none"/>
          <w:lang w:val="en-US" w:eastAsia="zh-CN"/>
        </w:rPr>
        <w:t>第二部分</w:t>
      </w:r>
      <w:r>
        <w:rPr>
          <w:rFonts w:hint="eastAsia" w:ascii="宋体" w:hAnsi="宋体"/>
          <w:b/>
          <w:color w:val="auto"/>
          <w:sz w:val="36"/>
          <w:szCs w:val="36"/>
          <w:highlight w:val="none"/>
        </w:rPr>
        <w:t>项目内容</w:t>
      </w:r>
      <w:bookmarkEnd w:id="12"/>
      <w:bookmarkEnd w:id="13"/>
      <w:bookmarkEnd w:id="14"/>
      <w:bookmarkEnd w:id="15"/>
      <w:bookmarkEnd w:id="16"/>
      <w:bookmarkStart w:id="17" w:name="_Toc13772"/>
      <w:bookmarkEnd w:id="17"/>
      <w:bookmarkStart w:id="18" w:name="_Toc11502"/>
      <w:bookmarkStart w:id="19" w:name="_Toc31874"/>
      <w:bookmarkStart w:id="20" w:name="_Toc9845"/>
    </w:p>
    <w:p>
      <w:pPr>
        <w:pStyle w:val="6"/>
        <w:rPr>
          <w:color w:val="auto"/>
          <w:highlight w:val="none"/>
        </w:rPr>
      </w:pPr>
    </w:p>
    <w:p>
      <w:pPr>
        <w:widowControl/>
        <w:numPr>
          <w:ilvl w:val="0"/>
          <w:numId w:val="0"/>
        </w:numPr>
        <w:spacing w:line="360" w:lineRule="auto"/>
        <w:jc w:val="center"/>
        <w:outlineLvl w:val="0"/>
        <w:rPr>
          <w:b/>
          <w:color w:val="auto"/>
          <w:sz w:val="32"/>
          <w:highlight w:val="none"/>
        </w:rPr>
      </w:pPr>
      <w:bookmarkStart w:id="21" w:name="_Toc5219"/>
      <w:r>
        <w:rPr>
          <w:rFonts w:hint="eastAsia"/>
          <w:b/>
          <w:color w:val="auto"/>
          <w:sz w:val="32"/>
          <w:highlight w:val="none"/>
        </w:rPr>
        <w:t>一、</w:t>
      </w:r>
      <w:r>
        <w:rPr>
          <w:rFonts w:hint="eastAsia"/>
          <w:b/>
          <w:color w:val="auto"/>
          <w:sz w:val="32"/>
          <w:highlight w:val="none"/>
          <w:lang w:eastAsia="zh-CN"/>
        </w:rPr>
        <w:t>投标</w:t>
      </w:r>
      <w:r>
        <w:rPr>
          <w:rFonts w:hint="eastAsia"/>
          <w:b/>
          <w:color w:val="auto"/>
          <w:sz w:val="32"/>
          <w:highlight w:val="none"/>
        </w:rPr>
        <w:t>人资格要求</w:t>
      </w:r>
      <w:bookmarkEnd w:id="18"/>
      <w:bookmarkEnd w:id="19"/>
      <w:bookmarkEnd w:id="20"/>
      <w:bookmarkEnd w:id="21"/>
    </w:p>
    <w:p>
      <w:pPr>
        <w:numPr>
          <w:ilvl w:val="0"/>
          <w:numId w:val="10"/>
        </w:numPr>
        <w:autoSpaceDN w:val="0"/>
        <w:spacing w:line="360" w:lineRule="auto"/>
        <w:ind w:left="425" w:leftChars="0" w:hanging="5" w:firstLineChars="0"/>
        <w:jc w:val="left"/>
        <w:rPr>
          <w:rFonts w:hint="eastAsia" w:ascii="宋体" w:hAnsi="宋体"/>
          <w:color w:val="auto"/>
          <w:sz w:val="24"/>
          <w:highlight w:val="none"/>
          <w:lang w:eastAsia="zh-CN"/>
        </w:rPr>
      </w:pPr>
      <w:bookmarkStart w:id="22" w:name="_Toc18342"/>
      <w:bookmarkStart w:id="23" w:name="_Toc22464"/>
      <w:bookmarkStart w:id="24" w:name="_Toc9938"/>
      <w:r>
        <w:rPr>
          <w:rFonts w:hint="eastAsia" w:ascii="宋体" w:hAnsi="宋体"/>
          <w:color w:val="auto"/>
          <w:sz w:val="24"/>
          <w:highlight w:val="none"/>
          <w:lang w:val="en-US" w:eastAsia="zh-CN"/>
        </w:rPr>
        <w:t>须具有独立法人资格，营业执照处于有效期内；</w:t>
      </w:r>
    </w:p>
    <w:p>
      <w:pPr>
        <w:numPr>
          <w:ilvl w:val="0"/>
          <w:numId w:val="10"/>
        </w:numPr>
        <w:autoSpaceDN w:val="0"/>
        <w:spacing w:line="360" w:lineRule="auto"/>
        <w:ind w:left="425" w:leftChars="0" w:hanging="5" w:firstLineChars="0"/>
        <w:jc w:val="left"/>
        <w:rPr>
          <w:rFonts w:hint="eastAsia" w:ascii="宋体" w:hAnsi="宋体"/>
          <w:color w:val="auto"/>
          <w:sz w:val="24"/>
          <w:highlight w:val="none"/>
          <w:lang w:eastAsia="zh-CN"/>
        </w:rPr>
      </w:pPr>
      <w:r>
        <w:rPr>
          <w:rFonts w:hint="eastAsia" w:ascii="宋体" w:hAnsi="宋体"/>
          <w:color w:val="auto"/>
          <w:sz w:val="24"/>
          <w:highlight w:val="none"/>
          <w:lang w:eastAsia="zh-CN"/>
        </w:rPr>
        <w:t>本项目不接受联合体竞投。</w:t>
      </w:r>
    </w:p>
    <w:p>
      <w:pPr>
        <w:numPr>
          <w:ilvl w:val="0"/>
          <w:numId w:val="10"/>
        </w:numPr>
        <w:autoSpaceDN w:val="0"/>
        <w:spacing w:line="360" w:lineRule="auto"/>
        <w:ind w:left="425" w:leftChars="0" w:hanging="5" w:firstLineChars="0"/>
        <w:jc w:val="left"/>
        <w:rPr>
          <w:rFonts w:hint="eastAsia" w:ascii="宋体" w:hAnsi="宋体"/>
          <w:color w:val="auto"/>
          <w:sz w:val="24"/>
          <w:highlight w:val="none"/>
          <w:lang w:eastAsia="zh-CN"/>
        </w:rPr>
      </w:pPr>
      <w:r>
        <w:rPr>
          <w:rFonts w:hint="eastAsia" w:ascii="宋体" w:hAnsi="宋体"/>
          <w:color w:val="auto"/>
          <w:sz w:val="24"/>
          <w:highlight w:val="none"/>
          <w:lang w:eastAsia="zh-CN"/>
        </w:rPr>
        <w:t>法律、行政法规规定的其他条件。</w:t>
      </w:r>
    </w:p>
    <w:p>
      <w:pPr>
        <w:numPr>
          <w:ilvl w:val="0"/>
          <w:numId w:val="11"/>
        </w:numPr>
        <w:autoSpaceDN w:val="0"/>
        <w:spacing w:line="360" w:lineRule="auto"/>
        <w:ind w:left="425" w:leftChars="0" w:hanging="5" w:firstLineChars="0"/>
        <w:jc w:val="left"/>
        <w:rPr>
          <w:rFonts w:hint="eastAsia" w:ascii="宋体" w:hAnsi="宋体"/>
          <w:color w:val="auto"/>
          <w:sz w:val="24"/>
          <w:highlight w:val="none"/>
          <w:lang w:eastAsia="zh-CN"/>
        </w:rPr>
      </w:pPr>
      <w:r>
        <w:rPr>
          <w:rFonts w:hint="eastAsia" w:ascii="宋体" w:hAnsi="宋体"/>
          <w:color w:val="auto"/>
          <w:sz w:val="24"/>
          <w:highlight w:val="none"/>
          <w:lang w:eastAsia="zh-CN"/>
        </w:rPr>
        <w:t>单位负责人为同一人或者存在直接控股、管理关系的不同投标人，不得同时参加本项目竞投；</w:t>
      </w:r>
    </w:p>
    <w:p>
      <w:pPr>
        <w:numPr>
          <w:ilvl w:val="0"/>
          <w:numId w:val="11"/>
        </w:numPr>
        <w:autoSpaceDN w:val="0"/>
        <w:spacing w:line="360" w:lineRule="auto"/>
        <w:ind w:left="425" w:leftChars="0" w:hanging="5" w:firstLineChars="0"/>
        <w:jc w:val="left"/>
        <w:rPr>
          <w:rFonts w:hint="eastAsia" w:ascii="宋体" w:hAnsi="宋体"/>
          <w:color w:val="auto"/>
          <w:sz w:val="24"/>
          <w:highlight w:val="none"/>
          <w:lang w:eastAsia="zh-CN"/>
        </w:rPr>
      </w:pPr>
      <w:r>
        <w:rPr>
          <w:rFonts w:hint="eastAsia" w:ascii="宋体" w:hAnsi="宋体"/>
          <w:color w:val="auto"/>
          <w:sz w:val="24"/>
          <w:highlight w:val="none"/>
          <w:lang w:eastAsia="zh-CN"/>
        </w:rPr>
        <w:t>投标单位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供应商需提供相关证明资料】。</w:t>
      </w:r>
    </w:p>
    <w:p>
      <w:pPr>
        <w:spacing w:line="460" w:lineRule="exact"/>
        <w:jc w:val="both"/>
        <w:outlineLvl w:val="1"/>
        <w:rPr>
          <w:rFonts w:hint="eastAsia"/>
          <w:b/>
          <w:color w:val="auto"/>
          <w:sz w:val="32"/>
          <w:highlight w:val="none"/>
        </w:rPr>
      </w:pPr>
    </w:p>
    <w:p>
      <w:pPr>
        <w:spacing w:line="460" w:lineRule="exact"/>
        <w:jc w:val="center"/>
        <w:outlineLvl w:val="1"/>
        <w:rPr>
          <w:rFonts w:hint="eastAsia"/>
          <w:b/>
          <w:color w:val="auto"/>
          <w:sz w:val="32"/>
          <w:highlight w:val="none"/>
        </w:rPr>
      </w:pPr>
    </w:p>
    <w:p>
      <w:pPr>
        <w:pStyle w:val="6"/>
        <w:rPr>
          <w:rFonts w:hint="eastAsia"/>
          <w:b/>
          <w:color w:val="auto"/>
          <w:sz w:val="32"/>
          <w:highlight w:val="none"/>
        </w:rPr>
      </w:pPr>
    </w:p>
    <w:p>
      <w:pPr>
        <w:rPr>
          <w:rFonts w:hint="eastAsia"/>
          <w:b/>
          <w:color w:val="auto"/>
          <w:sz w:val="32"/>
          <w:highlight w:val="none"/>
        </w:rPr>
      </w:pPr>
    </w:p>
    <w:p>
      <w:pPr>
        <w:pStyle w:val="6"/>
        <w:rPr>
          <w:rFonts w:hint="eastAsia"/>
          <w:b/>
          <w:color w:val="auto"/>
          <w:sz w:val="32"/>
          <w:highlight w:val="none"/>
        </w:rPr>
      </w:pPr>
    </w:p>
    <w:p>
      <w:pPr>
        <w:rPr>
          <w:rFonts w:hint="eastAsia"/>
          <w:b/>
          <w:color w:val="auto"/>
          <w:sz w:val="32"/>
          <w:highlight w:val="none"/>
        </w:rPr>
        <w:sectPr>
          <w:pgSz w:w="11850" w:h="16783"/>
          <w:pgMar w:top="1134" w:right="1134" w:bottom="1134" w:left="1417" w:header="0" w:footer="0" w:gutter="0"/>
          <w:pgBorders>
            <w:top w:val="none" w:sz="0" w:space="0"/>
            <w:left w:val="none" w:sz="0" w:space="0"/>
            <w:bottom w:val="none" w:sz="0" w:space="0"/>
            <w:right w:val="none" w:sz="0" w:space="0"/>
          </w:pgBorders>
          <w:pgNumType w:fmt="decimal"/>
          <w:cols w:space="0" w:num="1"/>
          <w:rtlGutter w:val="0"/>
          <w:docGrid w:linePitch="360" w:charSpace="0"/>
        </w:sectPr>
      </w:pPr>
    </w:p>
    <w:p>
      <w:pPr>
        <w:spacing w:line="460" w:lineRule="exact"/>
        <w:jc w:val="center"/>
        <w:outlineLvl w:val="1"/>
        <w:rPr>
          <w:b/>
          <w:color w:val="auto"/>
          <w:sz w:val="32"/>
          <w:highlight w:val="none"/>
        </w:rPr>
      </w:pPr>
      <w:bookmarkStart w:id="25" w:name="_Toc5091"/>
      <w:r>
        <w:rPr>
          <w:rFonts w:hint="eastAsia"/>
          <w:b/>
          <w:color w:val="auto"/>
          <w:sz w:val="32"/>
          <w:highlight w:val="none"/>
          <w:lang w:eastAsia="zh-CN"/>
        </w:rPr>
        <w:t>二</w:t>
      </w:r>
      <w:r>
        <w:rPr>
          <w:rFonts w:hint="eastAsia"/>
          <w:b/>
          <w:color w:val="auto"/>
          <w:sz w:val="32"/>
          <w:highlight w:val="none"/>
        </w:rPr>
        <w:t>、项目技术要求</w:t>
      </w:r>
      <w:bookmarkEnd w:id="22"/>
      <w:bookmarkEnd w:id="23"/>
      <w:bookmarkEnd w:id="24"/>
      <w:bookmarkEnd w:id="25"/>
    </w:p>
    <w:p>
      <w:pPr>
        <w:pStyle w:val="30"/>
        <w:numPr>
          <w:ilvl w:val="0"/>
          <w:numId w:val="12"/>
        </w:numPr>
        <w:spacing w:before="240" w:beforeLines="100" w:after="120" w:afterLines="50" w:line="360" w:lineRule="auto"/>
        <w:ind w:left="624" w:leftChars="0" w:hanging="624" w:firstLineChars="0"/>
        <w:rPr>
          <w:rFonts w:hint="eastAsia" w:ascii="宋体" w:hAnsi="宋体" w:eastAsia="宋体" w:cs="宋体"/>
          <w:b/>
          <w:color w:val="auto"/>
          <w:sz w:val="24"/>
          <w:highlight w:val="none"/>
        </w:rPr>
      </w:pPr>
      <w:bookmarkStart w:id="26" w:name="_Toc334432588"/>
      <w:bookmarkStart w:id="27" w:name="_Toc17678"/>
      <w:bookmarkStart w:id="28" w:name="_Toc32011"/>
      <w:bookmarkStart w:id="29" w:name="_Toc24252"/>
      <w:r>
        <w:rPr>
          <w:rFonts w:hint="eastAsia" w:ascii="宋体" w:hAnsi="宋体" w:eastAsia="宋体" w:cs="宋体"/>
          <w:b/>
          <w:color w:val="auto"/>
          <w:sz w:val="24"/>
          <w:highlight w:val="none"/>
        </w:rPr>
        <w:t>项目背景</w:t>
      </w:r>
    </w:p>
    <w:p>
      <w:pPr>
        <w:pStyle w:val="30"/>
        <w:numPr>
          <w:ilvl w:val="1"/>
          <w:numId w:val="12"/>
        </w:numPr>
        <w:spacing w:line="360" w:lineRule="auto"/>
        <w:ind w:left="415" w:leftChars="0" w:hanging="415" w:hangingChars="1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根据现行法律法规，招标人将</w:t>
      </w:r>
      <w:r>
        <w:rPr>
          <w:rFonts w:hint="eastAsia" w:ascii="宋体" w:hAnsi="宋体" w:eastAsia="宋体" w:cs="宋体"/>
          <w:color w:val="auto"/>
          <w:sz w:val="24"/>
          <w:szCs w:val="24"/>
          <w:highlight w:val="none"/>
          <w:lang w:eastAsia="zh-CN"/>
        </w:rPr>
        <w:t>位于</w:t>
      </w:r>
      <w:r>
        <w:rPr>
          <w:rFonts w:hint="eastAsia" w:ascii="宋体" w:hAnsi="宋体" w:cs="宋体"/>
          <w:color w:val="auto"/>
          <w:sz w:val="24"/>
          <w:szCs w:val="24"/>
          <w:highlight w:val="none"/>
          <w:lang w:val="en-US" w:eastAsia="zh-CN"/>
        </w:rPr>
        <w:t>吉利竹甫村车辆停放管理服务</w:t>
      </w:r>
      <w:r>
        <w:rPr>
          <w:rFonts w:hint="eastAsia" w:ascii="宋体" w:hAnsi="宋体" w:eastAsia="宋体" w:cs="宋体"/>
          <w:color w:val="auto"/>
          <w:sz w:val="24"/>
          <w:szCs w:val="24"/>
          <w:highlight w:val="none"/>
          <w:lang w:val="en-US" w:eastAsia="zh-CN"/>
        </w:rPr>
        <w:t>工作委托给中标人经营管理，合同期限为</w:t>
      </w:r>
      <w:r>
        <w:rPr>
          <w:rFonts w:hint="eastAsia" w:ascii="宋体" w:hAnsi="宋体" w:cs="宋体"/>
          <w:color w:val="auto"/>
          <w:sz w:val="24"/>
          <w:szCs w:val="24"/>
          <w:highlight w:val="none"/>
          <w:lang w:val="en-US" w:eastAsia="zh-CN"/>
        </w:rPr>
        <w:t>5年</w:t>
      </w:r>
      <w:r>
        <w:rPr>
          <w:rFonts w:hint="eastAsia" w:ascii="宋体" w:hAnsi="宋体" w:eastAsia="宋体" w:cs="宋体"/>
          <w:color w:val="auto"/>
          <w:sz w:val="24"/>
          <w:szCs w:val="24"/>
          <w:highlight w:val="none"/>
          <w:lang w:val="en-US" w:eastAsia="zh-CN"/>
        </w:rPr>
        <w:t>，中标人须按中标价向招标人支付费用。</w:t>
      </w:r>
    </w:p>
    <w:p>
      <w:pPr>
        <w:pStyle w:val="30"/>
        <w:numPr>
          <w:ilvl w:val="0"/>
          <w:numId w:val="12"/>
        </w:numPr>
        <w:spacing w:line="360" w:lineRule="auto"/>
        <w:ind w:left="417" w:leftChars="0" w:hanging="417" w:hangingChars="173"/>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项目概况</w:t>
      </w:r>
    </w:p>
    <w:p>
      <w:pPr>
        <w:pStyle w:val="30"/>
        <w:numPr>
          <w:ilvl w:val="1"/>
          <w:numId w:val="12"/>
        </w:numPr>
        <w:spacing w:line="360" w:lineRule="auto"/>
        <w:ind w:left="415" w:leftChars="0" w:hanging="415" w:hangingChars="1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为解决</w:t>
      </w:r>
      <w:r>
        <w:rPr>
          <w:rFonts w:hint="eastAsia" w:ascii="宋体" w:hAnsi="宋体" w:cs="宋体"/>
          <w:color w:val="auto"/>
          <w:sz w:val="24"/>
          <w:szCs w:val="24"/>
          <w:highlight w:val="none"/>
          <w:lang w:eastAsia="zh-CN"/>
        </w:rPr>
        <w:t>吉利竹甫村</w:t>
      </w:r>
      <w:r>
        <w:rPr>
          <w:rFonts w:hint="eastAsia" w:ascii="宋体" w:hAnsi="宋体" w:eastAsia="宋体" w:cs="宋体"/>
          <w:color w:val="auto"/>
          <w:sz w:val="24"/>
          <w:szCs w:val="24"/>
          <w:highlight w:val="none"/>
        </w:rPr>
        <w:t>停车需求矛盾和车辆乱停乱放的问题，构建简约高效的停车治理体系，提升精细化停车管理水平，响应《佛山市人民政府办公室关于规范村（社区）停车管理的指导意见》文件精神，现</w:t>
      </w:r>
      <w:r>
        <w:rPr>
          <w:rFonts w:hint="eastAsia" w:ascii="宋体" w:hAnsi="宋体" w:eastAsia="宋体" w:cs="宋体"/>
          <w:color w:val="auto"/>
          <w:sz w:val="24"/>
          <w:szCs w:val="24"/>
          <w:highlight w:val="none"/>
          <w:lang w:eastAsia="zh-CN"/>
        </w:rPr>
        <w:t>吉利</w:t>
      </w:r>
      <w:r>
        <w:rPr>
          <w:rFonts w:hint="eastAsia" w:ascii="宋体" w:hAnsi="宋体" w:cs="宋体"/>
          <w:color w:val="auto"/>
          <w:sz w:val="24"/>
          <w:szCs w:val="24"/>
          <w:highlight w:val="none"/>
          <w:lang w:eastAsia="zh-CN"/>
        </w:rPr>
        <w:t>竹甫村</w:t>
      </w:r>
      <w:r>
        <w:rPr>
          <w:rFonts w:hint="eastAsia" w:ascii="宋体" w:hAnsi="宋体" w:eastAsia="宋体" w:cs="宋体"/>
          <w:color w:val="auto"/>
          <w:sz w:val="24"/>
          <w:szCs w:val="24"/>
          <w:highlight w:val="none"/>
        </w:rPr>
        <w:t>规划引入第三方停车管理公司进行投资建设及运营管理，拟定以下智能监控和停车场管理方案：</w:t>
      </w:r>
    </w:p>
    <w:p>
      <w:pPr>
        <w:pStyle w:val="30"/>
        <w:numPr>
          <w:ilvl w:val="0"/>
          <w:numId w:val="12"/>
        </w:numPr>
        <w:spacing w:line="360" w:lineRule="auto"/>
        <w:ind w:left="417" w:leftChars="0" w:hanging="417" w:hangingChars="173"/>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项目内容</w:t>
      </w:r>
    </w:p>
    <w:p>
      <w:pPr>
        <w:pStyle w:val="30"/>
        <w:numPr>
          <w:ilvl w:val="1"/>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eastAsia="zh-CN"/>
        </w:rPr>
        <w:t>范围</w:t>
      </w:r>
      <w:r>
        <w:rPr>
          <w:rFonts w:hint="eastAsia" w:ascii="宋体" w:hAnsi="宋体" w:eastAsia="宋体" w:cs="宋体"/>
          <w:b w:val="0"/>
          <w:bCs w:val="0"/>
          <w:color w:val="auto"/>
          <w:sz w:val="24"/>
          <w:szCs w:val="24"/>
          <w:highlight w:val="none"/>
          <w:lang w:eastAsia="zh-CN"/>
        </w:rPr>
        <w:t>区域：竹甫村闸口内的停车范围（已有划线车位约200个）</w:t>
      </w:r>
      <w:r>
        <w:rPr>
          <w:rFonts w:hint="eastAsia" w:ascii="宋体" w:hAnsi="宋体" w:cs="宋体"/>
          <w:b w:val="0"/>
          <w:bCs w:val="0"/>
          <w:color w:val="auto"/>
          <w:sz w:val="24"/>
          <w:szCs w:val="24"/>
          <w:highlight w:val="none"/>
          <w:lang w:eastAsia="zh-CN"/>
        </w:rPr>
        <w:t>。</w:t>
      </w:r>
    </w:p>
    <w:p>
      <w:pPr>
        <w:pStyle w:val="30"/>
        <w:numPr>
          <w:ilvl w:val="1"/>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设施建设地点：</w:t>
      </w:r>
      <w:r>
        <w:rPr>
          <w:rFonts w:hint="eastAsia" w:ascii="宋体" w:hAnsi="宋体" w:eastAsia="宋体" w:cs="宋体"/>
          <w:color w:val="auto"/>
          <w:sz w:val="24"/>
          <w:szCs w:val="24"/>
          <w:highlight w:val="none"/>
          <w:lang w:val="en-US" w:eastAsia="zh-CN"/>
        </w:rPr>
        <w:t>在</w:t>
      </w:r>
      <w:r>
        <w:rPr>
          <w:rFonts w:hint="eastAsia" w:ascii="宋体" w:hAnsi="宋体" w:cs="宋体"/>
          <w:color w:val="auto"/>
          <w:sz w:val="24"/>
          <w:szCs w:val="24"/>
          <w:highlight w:val="none"/>
          <w:lang w:val="en-US" w:eastAsia="zh-CN"/>
        </w:rPr>
        <w:t>竹甫村口、竹甫庙旁、竹甫宝盛行旁、竹甫酒厂</w:t>
      </w:r>
      <w:r>
        <w:rPr>
          <w:rFonts w:hint="eastAsia" w:ascii="宋体" w:hAnsi="宋体" w:eastAsia="宋体" w:cs="宋体"/>
          <w:color w:val="auto"/>
          <w:sz w:val="24"/>
          <w:szCs w:val="24"/>
          <w:highlight w:val="none"/>
          <w:lang w:val="en-US" w:eastAsia="zh-CN"/>
        </w:rPr>
        <w:t>等</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个车辆进出通道点位。</w:t>
      </w:r>
    </w:p>
    <w:p>
      <w:pPr>
        <w:pStyle w:val="30"/>
        <w:numPr>
          <w:ilvl w:val="0"/>
          <w:numId w:val="0"/>
        </w:numPr>
        <w:spacing w:line="360" w:lineRule="auto"/>
        <w:ind w:left="415" w:leftChars="0" w:hanging="415" w:hangingChars="173"/>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点位一：</w:t>
      </w:r>
    </w:p>
    <w:p>
      <w:pPr>
        <w:pStyle w:val="30"/>
        <w:numPr>
          <w:ilvl w:val="0"/>
          <w:numId w:val="0"/>
        </w:numPr>
        <w:spacing w:line="360" w:lineRule="auto"/>
        <w:ind w:left="415" w:leftChars="0" w:hanging="415" w:hangingChars="173"/>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drawing>
          <wp:inline distT="0" distB="0" distL="114300" distR="114300">
            <wp:extent cx="3905885" cy="2929255"/>
            <wp:effectExtent l="0" t="0" r="18415" b="4445"/>
            <wp:docPr id="2" name="图片 2" descr="703f212ee5d7872d39a866ac9c6c3db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3f212ee5d7872d39a866ac9c6c3db2_"/>
                    <pic:cNvPicPr>
                      <a:picLocks noChangeAspect="1"/>
                    </pic:cNvPicPr>
                  </pic:nvPicPr>
                  <pic:blipFill>
                    <a:blip r:embed="rId9"/>
                    <a:stretch>
                      <a:fillRect/>
                    </a:stretch>
                  </pic:blipFill>
                  <pic:spPr>
                    <a:xfrm>
                      <a:off x="0" y="0"/>
                      <a:ext cx="3905885" cy="2929255"/>
                    </a:xfrm>
                    <a:prstGeom prst="rect">
                      <a:avLst/>
                    </a:prstGeom>
                  </pic:spPr>
                </pic:pic>
              </a:graphicData>
            </a:graphic>
          </wp:inline>
        </w:drawing>
      </w:r>
    </w:p>
    <w:p>
      <w:pPr>
        <w:pStyle w:val="30"/>
        <w:numPr>
          <w:ilvl w:val="0"/>
          <w:numId w:val="0"/>
        </w:numPr>
        <w:spacing w:line="360" w:lineRule="auto"/>
        <w:ind w:left="415" w:leftChars="0" w:hanging="415" w:hangingChars="173"/>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点位二：</w:t>
      </w:r>
    </w:p>
    <w:p>
      <w:pPr>
        <w:pStyle w:val="30"/>
        <w:numPr>
          <w:ilvl w:val="0"/>
          <w:numId w:val="0"/>
        </w:numPr>
        <w:spacing w:line="360" w:lineRule="auto"/>
        <w:ind w:left="415" w:leftChars="0" w:hanging="415" w:hangingChars="173"/>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drawing>
          <wp:inline distT="0" distB="0" distL="114300" distR="114300">
            <wp:extent cx="3785235" cy="2838450"/>
            <wp:effectExtent l="0" t="0" r="5715" b="0"/>
            <wp:docPr id="5" name="图片 5" descr="d880c392b202214a21c284c49ae15a1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880c392b202214a21c284c49ae15a1e_"/>
                    <pic:cNvPicPr>
                      <a:picLocks noChangeAspect="1"/>
                    </pic:cNvPicPr>
                  </pic:nvPicPr>
                  <pic:blipFill>
                    <a:blip r:embed="rId10"/>
                    <a:stretch>
                      <a:fillRect/>
                    </a:stretch>
                  </pic:blipFill>
                  <pic:spPr>
                    <a:xfrm>
                      <a:off x="0" y="0"/>
                      <a:ext cx="3785235" cy="2838450"/>
                    </a:xfrm>
                    <a:prstGeom prst="rect">
                      <a:avLst/>
                    </a:prstGeom>
                  </pic:spPr>
                </pic:pic>
              </a:graphicData>
            </a:graphic>
          </wp:inline>
        </w:drawing>
      </w:r>
    </w:p>
    <w:p>
      <w:pPr>
        <w:pStyle w:val="30"/>
        <w:numPr>
          <w:ilvl w:val="0"/>
          <w:numId w:val="0"/>
        </w:numPr>
        <w:spacing w:line="360" w:lineRule="auto"/>
        <w:ind w:left="415" w:leftChars="0" w:hanging="415" w:hangingChars="173"/>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点位三：</w:t>
      </w:r>
    </w:p>
    <w:p>
      <w:pPr>
        <w:pStyle w:val="30"/>
        <w:numPr>
          <w:ilvl w:val="0"/>
          <w:numId w:val="0"/>
        </w:numPr>
        <w:spacing w:line="360" w:lineRule="auto"/>
        <w:ind w:left="415" w:leftChars="0" w:hanging="415" w:hangingChars="173"/>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drawing>
          <wp:inline distT="0" distB="0" distL="114300" distR="114300">
            <wp:extent cx="3759835" cy="2820035"/>
            <wp:effectExtent l="0" t="0" r="12065" b="18415"/>
            <wp:docPr id="6" name="图片 6" descr="9881d18e312ea7d077952f8a231f8b2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881d18e312ea7d077952f8a231f8b27_"/>
                    <pic:cNvPicPr>
                      <a:picLocks noChangeAspect="1"/>
                    </pic:cNvPicPr>
                  </pic:nvPicPr>
                  <pic:blipFill>
                    <a:blip r:embed="rId11"/>
                    <a:stretch>
                      <a:fillRect/>
                    </a:stretch>
                  </pic:blipFill>
                  <pic:spPr>
                    <a:xfrm>
                      <a:off x="0" y="0"/>
                      <a:ext cx="3759835" cy="2820035"/>
                    </a:xfrm>
                    <a:prstGeom prst="rect">
                      <a:avLst/>
                    </a:prstGeom>
                  </pic:spPr>
                </pic:pic>
              </a:graphicData>
            </a:graphic>
          </wp:inline>
        </w:drawing>
      </w:r>
    </w:p>
    <w:p>
      <w:pPr>
        <w:pStyle w:val="30"/>
        <w:numPr>
          <w:ilvl w:val="0"/>
          <w:numId w:val="0"/>
        </w:numPr>
        <w:spacing w:line="360" w:lineRule="auto"/>
        <w:ind w:left="415" w:leftChars="0" w:hanging="415" w:hangingChars="173"/>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点位四：</w:t>
      </w:r>
    </w:p>
    <w:p>
      <w:pPr>
        <w:pStyle w:val="30"/>
        <w:numPr>
          <w:ilvl w:val="0"/>
          <w:numId w:val="0"/>
        </w:numPr>
        <w:spacing w:line="360" w:lineRule="auto"/>
        <w:ind w:left="415" w:leftChars="0" w:hanging="415" w:hangingChars="173"/>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drawing>
          <wp:inline distT="0" distB="0" distL="114300" distR="114300">
            <wp:extent cx="3578225" cy="2683510"/>
            <wp:effectExtent l="0" t="0" r="3175" b="2540"/>
            <wp:docPr id="7" name="图片 7" descr="51cc62903fe163b6e351932adec3ee8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1cc62903fe163b6e351932adec3ee89_"/>
                    <pic:cNvPicPr>
                      <a:picLocks noChangeAspect="1"/>
                    </pic:cNvPicPr>
                  </pic:nvPicPr>
                  <pic:blipFill>
                    <a:blip r:embed="rId12"/>
                    <a:stretch>
                      <a:fillRect/>
                    </a:stretch>
                  </pic:blipFill>
                  <pic:spPr>
                    <a:xfrm>
                      <a:off x="0" y="0"/>
                      <a:ext cx="3578225" cy="2683510"/>
                    </a:xfrm>
                    <a:prstGeom prst="rect">
                      <a:avLst/>
                    </a:prstGeom>
                  </pic:spPr>
                </pic:pic>
              </a:graphicData>
            </a:graphic>
          </wp:inline>
        </w:drawing>
      </w:r>
    </w:p>
    <w:p>
      <w:pPr>
        <w:pStyle w:val="30"/>
        <w:numPr>
          <w:ilvl w:val="1"/>
          <w:numId w:val="12"/>
        </w:numPr>
        <w:spacing w:line="360" w:lineRule="auto"/>
        <w:ind w:left="415" w:leftChars="0" w:hanging="415" w:hangingChars="173"/>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人员配置：需配备不少于3名人员在现场进行24小时管理。</w:t>
      </w:r>
    </w:p>
    <w:p>
      <w:pPr>
        <w:pStyle w:val="30"/>
        <w:numPr>
          <w:ilvl w:val="1"/>
          <w:numId w:val="12"/>
        </w:numPr>
        <w:spacing w:line="360" w:lineRule="auto"/>
        <w:ind w:left="415" w:leftChars="0" w:hanging="415" w:hangingChars="173"/>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设备和工程量清单</w:t>
      </w:r>
    </w:p>
    <w:tbl>
      <w:tblPr>
        <w:tblStyle w:val="19"/>
        <w:tblW w:w="9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1876"/>
        <w:gridCol w:w="639"/>
        <w:gridCol w:w="490"/>
        <w:gridCol w:w="2535"/>
        <w:gridCol w:w="3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92"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竹圃村停车场设备清单（8个车道）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92"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1、入口设备 （4个车道）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8" w:space="0"/>
              <w:left w:val="single" w:color="000000" w:sz="8"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序号</w:t>
            </w:r>
          </w:p>
        </w:tc>
        <w:tc>
          <w:tcPr>
            <w:tcW w:w="1913" w:type="dxa"/>
            <w:tcBorders>
              <w:top w:val="single" w:color="000000" w:sz="8"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名称</w:t>
            </w:r>
          </w:p>
        </w:tc>
        <w:tc>
          <w:tcPr>
            <w:tcW w:w="493" w:type="dxa"/>
            <w:tcBorders>
              <w:top w:val="single" w:color="000000" w:sz="8"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数量</w:t>
            </w:r>
          </w:p>
        </w:tc>
        <w:tc>
          <w:tcPr>
            <w:tcW w:w="493" w:type="dxa"/>
            <w:tcBorders>
              <w:top w:val="single" w:color="000000" w:sz="8"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单位</w:t>
            </w:r>
          </w:p>
        </w:tc>
        <w:tc>
          <w:tcPr>
            <w:tcW w:w="2560" w:type="dxa"/>
            <w:tcBorders>
              <w:top w:val="single" w:color="000000" w:sz="8"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配置情况</w:t>
            </w:r>
          </w:p>
        </w:tc>
        <w:tc>
          <w:tcPr>
            <w:tcW w:w="3393" w:type="dxa"/>
            <w:tcBorders>
              <w:top w:val="single" w:color="000000" w:sz="8" w:space="0"/>
              <w:left w:val="single" w:color="000000" w:sz="4" w:space="0"/>
              <w:bottom w:val="single" w:color="000000" w:sz="4" w:space="0"/>
              <w:right w:val="single" w:color="000000" w:sz="8"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数字道闸</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台</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直杆道闸，直流无刷，开闸时间1.5-6S可调，金色机身、含空开、含1个单路车检器，可配1.5—4米直杆（最快开闸速度随杆长变化）</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69215</wp:posOffset>
                  </wp:positionH>
                  <wp:positionV relativeFrom="paragraph">
                    <wp:posOffset>258445</wp:posOffset>
                  </wp:positionV>
                  <wp:extent cx="2085340" cy="1804035"/>
                  <wp:effectExtent l="0" t="0" r="10160" b="5715"/>
                  <wp:wrapNone/>
                  <wp:docPr id="45" name="图片_21"/>
                  <wp:cNvGraphicFramePr/>
                  <a:graphic xmlns:a="http://schemas.openxmlformats.org/drawingml/2006/main">
                    <a:graphicData uri="http://schemas.openxmlformats.org/drawingml/2006/picture">
                      <pic:pic xmlns:pic="http://schemas.openxmlformats.org/drawingml/2006/picture">
                        <pic:nvPicPr>
                          <pic:cNvPr id="45" name="图片_21"/>
                          <pic:cNvPicPr/>
                        </pic:nvPicPr>
                        <pic:blipFill>
                          <a:blip r:embed="rId13"/>
                          <a:stretch>
                            <a:fillRect/>
                          </a:stretch>
                        </pic:blipFill>
                        <pic:spPr>
                          <a:xfrm>
                            <a:off x="0" y="0"/>
                            <a:ext cx="2085340" cy="18040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地感处理器</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台</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含底座</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3</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PMS控制机</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4</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台</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LED显示屏</w:t>
            </w:r>
          </w:p>
        </w:tc>
        <w:tc>
          <w:tcPr>
            <w:tcW w:w="3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灰色</w:t>
            </w: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一体化机箱</w:t>
            </w: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地感触发/视频流触发</w:t>
            </w: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CS高清手动变焦镜头</w:t>
            </w:r>
            <w:r>
              <w:rPr>
                <w:rFonts w:hint="eastAsia" w:ascii="微软雅黑" w:hAnsi="微软雅黑" w:eastAsia="微软雅黑" w:cs="微软雅黑"/>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2.7-13.5mm-F1.4</w:t>
            </w: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06" w:type="dxa"/>
            <w:gridSpan w:val="4"/>
            <w:tcBorders>
              <w:top w:val="single" w:color="000000" w:sz="4" w:space="0"/>
              <w:left w:val="single" w:color="000000" w:sz="8" w:space="0"/>
              <w:bottom w:val="single" w:color="000000" w:sz="8"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入口设备 小计</w:t>
            </w:r>
          </w:p>
        </w:tc>
        <w:tc>
          <w:tcPr>
            <w:tcW w:w="5953" w:type="dxa"/>
            <w:gridSpan w:val="2"/>
            <w:tcBorders>
              <w:top w:val="single" w:color="000000" w:sz="4" w:space="0"/>
              <w:left w:val="single" w:color="000000" w:sz="4" w:space="0"/>
              <w:bottom w:val="single" w:color="000000" w:sz="8" w:space="0"/>
              <w:right w:val="single" w:color="000000" w:sz="4" w:space="0"/>
            </w:tcBorders>
            <w:shd w:val="clear" w:color="auto" w:fill="C0C0C0"/>
            <w:vAlign w:val="center"/>
          </w:tcPr>
          <w:p>
            <w:pPr>
              <w:jc w:val="center"/>
              <w:rPr>
                <w:rFonts w:hint="eastAsia" w:ascii="微软雅黑" w:hAnsi="微软雅黑" w:eastAsia="微软雅黑" w:cs="微软雅黑"/>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92"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2、出口设备  （4个车道）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8" w:space="0"/>
              <w:left w:val="single" w:color="000000" w:sz="8"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序号</w:t>
            </w:r>
          </w:p>
        </w:tc>
        <w:tc>
          <w:tcPr>
            <w:tcW w:w="1913" w:type="dxa"/>
            <w:tcBorders>
              <w:top w:val="single" w:color="000000" w:sz="8"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名称</w:t>
            </w:r>
          </w:p>
        </w:tc>
        <w:tc>
          <w:tcPr>
            <w:tcW w:w="493" w:type="dxa"/>
            <w:tcBorders>
              <w:top w:val="single" w:color="000000" w:sz="8"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数量</w:t>
            </w:r>
          </w:p>
        </w:tc>
        <w:tc>
          <w:tcPr>
            <w:tcW w:w="493" w:type="dxa"/>
            <w:tcBorders>
              <w:top w:val="single" w:color="000000" w:sz="8"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单位</w:t>
            </w:r>
          </w:p>
        </w:tc>
        <w:tc>
          <w:tcPr>
            <w:tcW w:w="2560" w:type="dxa"/>
            <w:tcBorders>
              <w:top w:val="single" w:color="000000" w:sz="8"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配置情况</w:t>
            </w:r>
          </w:p>
        </w:tc>
        <w:tc>
          <w:tcPr>
            <w:tcW w:w="3393" w:type="dxa"/>
            <w:tcBorders>
              <w:top w:val="single" w:color="000000" w:sz="8" w:space="0"/>
              <w:left w:val="single" w:color="000000" w:sz="4" w:space="0"/>
              <w:bottom w:val="single" w:color="000000" w:sz="4" w:space="0"/>
              <w:right w:val="single" w:color="000000" w:sz="8"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数字道闸</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台</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直杆道闸，直流无刷，开闸时间1.5-6S可调，金色机身、含空开、含1个单路车检器，可配1.5—4米直杆（最快开闸速度随杆长变化）</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263525</wp:posOffset>
                  </wp:positionH>
                  <wp:positionV relativeFrom="paragraph">
                    <wp:posOffset>135890</wp:posOffset>
                  </wp:positionV>
                  <wp:extent cx="1753870" cy="1992630"/>
                  <wp:effectExtent l="0" t="0" r="17780" b="6985"/>
                  <wp:wrapNone/>
                  <wp:docPr id="43" name="图片_2"/>
                  <wp:cNvGraphicFramePr/>
                  <a:graphic xmlns:a="http://schemas.openxmlformats.org/drawingml/2006/main">
                    <a:graphicData uri="http://schemas.openxmlformats.org/drawingml/2006/picture">
                      <pic:pic xmlns:pic="http://schemas.openxmlformats.org/drawingml/2006/picture">
                        <pic:nvPicPr>
                          <pic:cNvPr id="43" name="图片_2"/>
                          <pic:cNvPicPr/>
                        </pic:nvPicPr>
                        <pic:blipFill>
                          <a:blip r:embed="rId14"/>
                          <a:stretch>
                            <a:fillRect/>
                          </a:stretch>
                        </pic:blipFill>
                        <pic:spPr>
                          <a:xfrm>
                            <a:off x="0" y="0"/>
                            <a:ext cx="1753870" cy="19926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地感处理器</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台</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含底座</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3</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PMS控制机</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4</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台</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LED显示屏</w:t>
            </w:r>
          </w:p>
        </w:tc>
        <w:tc>
          <w:tcPr>
            <w:tcW w:w="3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灰色</w:t>
            </w: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一体化机箱</w:t>
            </w: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地感触发/视频流触发</w:t>
            </w: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CS高清手动变焦镜头</w:t>
            </w:r>
            <w:r>
              <w:rPr>
                <w:rFonts w:hint="eastAsia" w:ascii="微软雅黑" w:hAnsi="微软雅黑" w:eastAsia="微软雅黑" w:cs="微软雅黑"/>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3.3-10.5mm-F1.4</w:t>
            </w: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06" w:type="dxa"/>
            <w:gridSpan w:val="4"/>
            <w:tcBorders>
              <w:top w:val="single" w:color="000000" w:sz="4" w:space="0"/>
              <w:left w:val="single" w:color="000000" w:sz="8" w:space="0"/>
              <w:bottom w:val="single" w:color="000000" w:sz="8"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出口设备 小计</w:t>
            </w:r>
          </w:p>
        </w:tc>
        <w:tc>
          <w:tcPr>
            <w:tcW w:w="5953" w:type="dxa"/>
            <w:gridSpan w:val="2"/>
            <w:tcBorders>
              <w:top w:val="single" w:color="000000" w:sz="4" w:space="0"/>
              <w:left w:val="single" w:color="000000" w:sz="4" w:space="0"/>
              <w:bottom w:val="single" w:color="000000" w:sz="8" w:space="0"/>
              <w:right w:val="single" w:color="000000" w:sz="4" w:space="0"/>
            </w:tcBorders>
            <w:shd w:val="clear" w:color="auto" w:fill="C0C0C0"/>
            <w:vAlign w:val="center"/>
          </w:tcPr>
          <w:p>
            <w:pPr>
              <w:jc w:val="center"/>
              <w:rPr>
                <w:rFonts w:hint="eastAsia" w:ascii="微软雅黑" w:hAnsi="微软雅黑" w:eastAsia="微软雅黑" w:cs="微软雅黑"/>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92"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3、双路设别配置包（3个车道配置附枪）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8" w:space="0"/>
              <w:left w:val="single" w:color="000000" w:sz="8"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序号</w:t>
            </w:r>
          </w:p>
        </w:tc>
        <w:tc>
          <w:tcPr>
            <w:tcW w:w="1913" w:type="dxa"/>
            <w:tcBorders>
              <w:top w:val="single" w:color="000000" w:sz="8"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名称</w:t>
            </w:r>
          </w:p>
        </w:tc>
        <w:tc>
          <w:tcPr>
            <w:tcW w:w="493" w:type="dxa"/>
            <w:tcBorders>
              <w:top w:val="single" w:color="000000" w:sz="8"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数量</w:t>
            </w:r>
          </w:p>
        </w:tc>
        <w:tc>
          <w:tcPr>
            <w:tcW w:w="493" w:type="dxa"/>
            <w:tcBorders>
              <w:top w:val="single" w:color="000000" w:sz="8"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单位</w:t>
            </w:r>
          </w:p>
        </w:tc>
        <w:tc>
          <w:tcPr>
            <w:tcW w:w="2560" w:type="dxa"/>
            <w:tcBorders>
              <w:top w:val="single" w:color="000000" w:sz="8"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配置情况</w:t>
            </w:r>
          </w:p>
        </w:tc>
        <w:tc>
          <w:tcPr>
            <w:tcW w:w="3393" w:type="dxa"/>
            <w:tcBorders>
              <w:top w:val="single" w:color="000000" w:sz="8" w:space="0"/>
              <w:left w:val="single" w:color="000000" w:sz="4" w:space="0"/>
              <w:bottom w:val="single" w:color="000000" w:sz="4" w:space="0"/>
              <w:right w:val="single" w:color="000000" w:sz="8"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高清枪型网</w:t>
            </w:r>
            <w:r>
              <w:rPr>
                <w:rFonts w:hint="eastAsia" w:ascii="微软雅黑" w:hAnsi="微软雅黑" w:eastAsia="微软雅黑" w:cs="微软雅黑"/>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络摄像机</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台</w:t>
            </w:r>
          </w:p>
        </w:tc>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变焦</w:t>
            </w:r>
          </w:p>
        </w:tc>
        <w:tc>
          <w:tcPr>
            <w:tcW w:w="3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分体式辅助摄像机，</w:t>
            </w:r>
            <w:r>
              <w:rPr>
                <w:rFonts w:hint="eastAsia" w:ascii="微软雅黑" w:hAnsi="微软雅黑" w:eastAsia="微软雅黑" w:cs="微软雅黑"/>
                <w:b/>
                <w:bCs/>
                <w:i w:val="0"/>
                <w:iCs w:val="0"/>
                <w:color w:val="auto"/>
                <w:kern w:val="0"/>
                <w:sz w:val="20"/>
                <w:szCs w:val="20"/>
                <w:highlight w:val="none"/>
                <w:u w:val="none"/>
                <w:lang w:val="en-US" w:eastAsia="zh-CN" w:bidi="ar"/>
              </w:rPr>
              <w:t>总共8个车道，方案设计3个车道配置附枪，5个车道可无需配置附枪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摄像机立柱组件</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摄像机立柱配件包</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摄像机联接组件</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摄像机抱箍支架组件</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6</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补光灯</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06" w:type="dxa"/>
            <w:gridSpan w:val="4"/>
            <w:tcBorders>
              <w:top w:val="single" w:color="000000" w:sz="4" w:space="0"/>
              <w:left w:val="single" w:color="000000" w:sz="8" w:space="0"/>
              <w:bottom w:val="nil"/>
              <w:right w:val="single" w:color="000000" w:sz="4" w:space="0"/>
            </w:tcBorders>
            <w:shd w:val="clear" w:color="auto" w:fill="C0C0C0"/>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双路识别配置 小计</w:t>
            </w:r>
          </w:p>
        </w:tc>
        <w:tc>
          <w:tcPr>
            <w:tcW w:w="5953" w:type="dxa"/>
            <w:gridSpan w:val="2"/>
            <w:tcBorders>
              <w:top w:val="single" w:color="000000" w:sz="4" w:space="0"/>
              <w:left w:val="single" w:color="000000" w:sz="4" w:space="0"/>
              <w:bottom w:val="nil"/>
              <w:right w:val="single" w:color="000000" w:sz="4" w:space="0"/>
            </w:tcBorders>
            <w:shd w:val="clear" w:color="auto" w:fill="C0C0C0"/>
            <w:vAlign w:val="center"/>
          </w:tcPr>
          <w:p>
            <w:pPr>
              <w:jc w:val="center"/>
              <w:rPr>
                <w:rFonts w:hint="eastAsia" w:ascii="微软雅黑" w:hAnsi="微软雅黑" w:eastAsia="微软雅黑" w:cs="微软雅黑"/>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92"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313055</wp:posOffset>
                  </wp:positionH>
                  <wp:positionV relativeFrom="paragraph">
                    <wp:posOffset>0</wp:posOffset>
                  </wp:positionV>
                  <wp:extent cx="152400" cy="9525"/>
                  <wp:effectExtent l="0" t="0" r="0" b="0"/>
                  <wp:wrapNone/>
                  <wp:docPr id="42" name="Shape4"/>
                  <wp:cNvGraphicFramePr/>
                  <a:graphic xmlns:a="http://schemas.openxmlformats.org/drawingml/2006/main">
                    <a:graphicData uri="http://schemas.openxmlformats.org/drawingml/2006/picture">
                      <pic:pic xmlns:pic="http://schemas.openxmlformats.org/drawingml/2006/picture">
                        <pic:nvPicPr>
                          <pic:cNvPr id="42" name="Shape4"/>
                          <pic:cNvPicPr/>
                        </pic:nvPicPr>
                        <pic:blipFill>
                          <a:blip r:embed="rId15"/>
                          <a:stretch>
                            <a:fillRect/>
                          </a:stretch>
                        </pic:blipFill>
                        <pic:spPr>
                          <a:xfrm>
                            <a:off x="0" y="0"/>
                            <a:ext cx="152400" cy="9525"/>
                          </a:xfrm>
                          <a:prstGeom prst="rect">
                            <a:avLst/>
                          </a:prstGeom>
                          <a:noFill/>
                          <a:ln>
                            <a:noFill/>
                          </a:ln>
                        </pic:spPr>
                      </pic:pic>
                    </a:graphicData>
                  </a:graphic>
                </wp:anchor>
              </w:drawing>
            </w:r>
            <w:r>
              <w:rPr>
                <w:rFonts w:hint="eastAsia" w:ascii="微软雅黑" w:hAnsi="微软雅黑" w:eastAsia="微软雅黑" w:cs="微软雅黑"/>
                <w:b/>
                <w:bCs/>
                <w:i w:val="0"/>
                <w:iCs w:val="0"/>
                <w:color w:val="auto"/>
                <w:kern w:val="0"/>
                <w:sz w:val="18"/>
                <w:szCs w:val="18"/>
                <w:highlight w:val="none"/>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313055</wp:posOffset>
                  </wp:positionH>
                  <wp:positionV relativeFrom="paragraph">
                    <wp:posOffset>0</wp:posOffset>
                  </wp:positionV>
                  <wp:extent cx="152400" cy="9525"/>
                  <wp:effectExtent l="0" t="0" r="0" b="0"/>
                  <wp:wrapNone/>
                  <wp:docPr id="44" name="Shape5"/>
                  <wp:cNvGraphicFramePr/>
                  <a:graphic xmlns:a="http://schemas.openxmlformats.org/drawingml/2006/main">
                    <a:graphicData uri="http://schemas.openxmlformats.org/drawingml/2006/picture">
                      <pic:pic xmlns:pic="http://schemas.openxmlformats.org/drawingml/2006/picture">
                        <pic:nvPicPr>
                          <pic:cNvPr id="44" name="Shape5"/>
                          <pic:cNvPicPr/>
                        </pic:nvPicPr>
                        <pic:blipFill>
                          <a:blip r:embed="rId15"/>
                          <a:stretch>
                            <a:fillRect/>
                          </a:stretch>
                        </pic:blipFill>
                        <pic:spPr>
                          <a:xfrm>
                            <a:off x="0" y="0"/>
                            <a:ext cx="152400" cy="9525"/>
                          </a:xfrm>
                          <a:prstGeom prst="rect">
                            <a:avLst/>
                          </a:prstGeom>
                          <a:noFill/>
                          <a:ln>
                            <a:noFill/>
                          </a:ln>
                        </pic:spPr>
                      </pic:pic>
                    </a:graphicData>
                  </a:graphic>
                </wp:anchor>
              </w:drawing>
            </w:r>
            <w:r>
              <w:rPr>
                <w:rFonts w:hint="eastAsia" w:ascii="微软雅黑" w:hAnsi="微软雅黑" w:eastAsia="微软雅黑" w:cs="微软雅黑"/>
                <w:b/>
                <w:bCs/>
                <w:i w:val="0"/>
                <w:iCs w:val="0"/>
                <w:color w:val="auto"/>
                <w:kern w:val="0"/>
                <w:sz w:val="18"/>
                <w:szCs w:val="18"/>
                <w:highlight w:val="none"/>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313055</wp:posOffset>
                  </wp:positionH>
                  <wp:positionV relativeFrom="paragraph">
                    <wp:posOffset>0</wp:posOffset>
                  </wp:positionV>
                  <wp:extent cx="152400" cy="9525"/>
                  <wp:effectExtent l="0" t="0" r="0" b="0"/>
                  <wp:wrapNone/>
                  <wp:docPr id="38" name="Shape3"/>
                  <wp:cNvGraphicFramePr/>
                  <a:graphic xmlns:a="http://schemas.openxmlformats.org/drawingml/2006/main">
                    <a:graphicData uri="http://schemas.openxmlformats.org/drawingml/2006/picture">
                      <pic:pic xmlns:pic="http://schemas.openxmlformats.org/drawingml/2006/picture">
                        <pic:nvPicPr>
                          <pic:cNvPr id="38" name="Shape3"/>
                          <pic:cNvPicPr/>
                        </pic:nvPicPr>
                        <pic:blipFill>
                          <a:blip r:embed="rId15"/>
                          <a:stretch>
                            <a:fillRect/>
                          </a:stretch>
                        </pic:blipFill>
                        <pic:spPr>
                          <a:xfrm>
                            <a:off x="0" y="0"/>
                            <a:ext cx="152400" cy="9525"/>
                          </a:xfrm>
                          <a:prstGeom prst="rect">
                            <a:avLst/>
                          </a:prstGeom>
                          <a:noFill/>
                          <a:ln>
                            <a:noFill/>
                          </a:ln>
                        </pic:spPr>
                      </pic:pic>
                    </a:graphicData>
                  </a:graphic>
                </wp:anchor>
              </w:drawing>
            </w:r>
            <w:r>
              <w:rPr>
                <w:rFonts w:hint="eastAsia" w:ascii="微软雅黑" w:hAnsi="微软雅黑" w:eastAsia="微软雅黑" w:cs="微软雅黑"/>
                <w:b/>
                <w:bCs/>
                <w:i w:val="0"/>
                <w:iCs w:val="0"/>
                <w:color w:val="auto"/>
                <w:kern w:val="0"/>
                <w:sz w:val="18"/>
                <w:szCs w:val="18"/>
                <w:highlight w:val="none"/>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313055</wp:posOffset>
                  </wp:positionH>
                  <wp:positionV relativeFrom="paragraph">
                    <wp:posOffset>0</wp:posOffset>
                  </wp:positionV>
                  <wp:extent cx="152400" cy="9525"/>
                  <wp:effectExtent l="0" t="0" r="0" b="0"/>
                  <wp:wrapNone/>
                  <wp:docPr id="39" name="Shape6"/>
                  <wp:cNvGraphicFramePr/>
                  <a:graphic xmlns:a="http://schemas.openxmlformats.org/drawingml/2006/main">
                    <a:graphicData uri="http://schemas.openxmlformats.org/drawingml/2006/picture">
                      <pic:pic xmlns:pic="http://schemas.openxmlformats.org/drawingml/2006/picture">
                        <pic:nvPicPr>
                          <pic:cNvPr id="39" name="Shape6"/>
                          <pic:cNvPicPr/>
                        </pic:nvPicPr>
                        <pic:blipFill>
                          <a:blip r:embed="rId15"/>
                          <a:stretch>
                            <a:fillRect/>
                          </a:stretch>
                        </pic:blipFill>
                        <pic:spPr>
                          <a:xfrm>
                            <a:off x="0" y="0"/>
                            <a:ext cx="152400" cy="9525"/>
                          </a:xfrm>
                          <a:prstGeom prst="rect">
                            <a:avLst/>
                          </a:prstGeom>
                          <a:noFill/>
                          <a:ln>
                            <a:noFill/>
                          </a:ln>
                        </pic:spPr>
                      </pic:pic>
                    </a:graphicData>
                  </a:graphic>
                </wp:anchor>
              </w:drawing>
            </w:r>
            <w:r>
              <w:rPr>
                <w:rFonts w:hint="eastAsia" w:ascii="微软雅黑" w:hAnsi="微软雅黑" w:eastAsia="微软雅黑" w:cs="微软雅黑"/>
                <w:b/>
                <w:bCs/>
                <w:i w:val="0"/>
                <w:iCs w:val="0"/>
                <w:color w:val="auto"/>
                <w:kern w:val="0"/>
                <w:sz w:val="18"/>
                <w:szCs w:val="18"/>
                <w:highlight w:val="none"/>
                <w:u w:val="none"/>
                <w:lang w:val="en-US" w:eastAsia="zh-CN" w:bidi="ar"/>
              </w:rPr>
              <w:t>一、以上为艾科提供的硬件设备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06" w:type="dxa"/>
            <w:gridSpan w:val="4"/>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1+2+3（合计）</w:t>
            </w:r>
          </w:p>
        </w:tc>
        <w:tc>
          <w:tcPr>
            <w:tcW w:w="5953" w:type="dxa"/>
            <w:gridSpan w:val="2"/>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微软雅黑" w:hAnsi="微软雅黑" w:eastAsia="微软雅黑" w:cs="微软雅黑"/>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92"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drawing>
                <wp:anchor distT="0" distB="0" distL="114300" distR="114300" simplePos="0" relativeHeight="251659264" behindDoc="0" locked="0" layoutInCell="1" allowOverlap="1">
                  <wp:simplePos x="0" y="0"/>
                  <wp:positionH relativeFrom="column">
                    <wp:posOffset>313055</wp:posOffset>
                  </wp:positionH>
                  <wp:positionV relativeFrom="paragraph">
                    <wp:posOffset>0</wp:posOffset>
                  </wp:positionV>
                  <wp:extent cx="152400" cy="9525"/>
                  <wp:effectExtent l="0" t="0" r="0" b="0"/>
                  <wp:wrapNone/>
                  <wp:docPr id="37" name="Shape3_SpCnt_1"/>
                  <wp:cNvGraphicFramePr/>
                  <a:graphic xmlns:a="http://schemas.openxmlformats.org/drawingml/2006/main">
                    <a:graphicData uri="http://schemas.openxmlformats.org/drawingml/2006/picture">
                      <pic:pic xmlns:pic="http://schemas.openxmlformats.org/drawingml/2006/picture">
                        <pic:nvPicPr>
                          <pic:cNvPr id="37" name="Shape3_SpCnt_1"/>
                          <pic:cNvPicPr/>
                        </pic:nvPicPr>
                        <pic:blipFill>
                          <a:blip r:embed="rId15"/>
                          <a:stretch>
                            <a:fillRect/>
                          </a:stretch>
                        </pic:blipFill>
                        <pic:spPr>
                          <a:xfrm>
                            <a:off x="0" y="0"/>
                            <a:ext cx="152400" cy="9525"/>
                          </a:xfrm>
                          <a:prstGeom prst="rect">
                            <a:avLst/>
                          </a:prstGeom>
                          <a:noFill/>
                          <a:ln>
                            <a:noFill/>
                          </a:ln>
                        </pic:spPr>
                      </pic:pic>
                    </a:graphicData>
                  </a:graphic>
                </wp:anchor>
              </w:drawing>
            </w:r>
            <w:r>
              <w:rPr>
                <w:rFonts w:hint="eastAsia" w:ascii="微软雅黑" w:hAnsi="微软雅黑" w:eastAsia="微软雅黑" w:cs="微软雅黑"/>
                <w:b/>
                <w:bCs/>
                <w:i w:val="0"/>
                <w:iCs w:val="0"/>
                <w:color w:val="auto"/>
                <w:kern w:val="0"/>
                <w:sz w:val="18"/>
                <w:szCs w:val="18"/>
                <w:highlight w:val="none"/>
                <w:u w:val="none"/>
                <w:lang w:val="en-US" w:eastAsia="zh-CN" w:bidi="ar"/>
              </w:rPr>
              <w:drawing>
                <wp:anchor distT="0" distB="0" distL="114300" distR="114300" simplePos="0" relativeHeight="251659264" behindDoc="0" locked="0" layoutInCell="1" allowOverlap="1">
                  <wp:simplePos x="0" y="0"/>
                  <wp:positionH relativeFrom="column">
                    <wp:posOffset>313055</wp:posOffset>
                  </wp:positionH>
                  <wp:positionV relativeFrom="paragraph">
                    <wp:posOffset>0</wp:posOffset>
                  </wp:positionV>
                  <wp:extent cx="152400" cy="9525"/>
                  <wp:effectExtent l="0" t="0" r="0" b="0"/>
                  <wp:wrapNone/>
                  <wp:docPr id="40" name="Shape6_SpCnt_1"/>
                  <wp:cNvGraphicFramePr/>
                  <a:graphic xmlns:a="http://schemas.openxmlformats.org/drawingml/2006/main">
                    <a:graphicData uri="http://schemas.openxmlformats.org/drawingml/2006/picture">
                      <pic:pic xmlns:pic="http://schemas.openxmlformats.org/drawingml/2006/picture">
                        <pic:nvPicPr>
                          <pic:cNvPr id="40" name="Shape6_SpCnt_1"/>
                          <pic:cNvPicPr/>
                        </pic:nvPicPr>
                        <pic:blipFill>
                          <a:blip r:embed="rId15"/>
                          <a:stretch>
                            <a:fillRect/>
                          </a:stretch>
                        </pic:blipFill>
                        <pic:spPr>
                          <a:xfrm>
                            <a:off x="0" y="0"/>
                            <a:ext cx="152400" cy="9525"/>
                          </a:xfrm>
                          <a:prstGeom prst="rect">
                            <a:avLst/>
                          </a:prstGeom>
                          <a:noFill/>
                          <a:ln>
                            <a:noFill/>
                          </a:ln>
                        </pic:spPr>
                      </pic:pic>
                    </a:graphicData>
                  </a:graphic>
                </wp:anchor>
              </w:drawing>
            </w:r>
            <w:r>
              <w:rPr>
                <w:rFonts w:hint="eastAsia" w:ascii="微软雅黑" w:hAnsi="微软雅黑" w:eastAsia="微软雅黑" w:cs="微软雅黑"/>
                <w:b/>
                <w:bCs/>
                <w:i w:val="0"/>
                <w:iCs w:val="0"/>
                <w:color w:val="auto"/>
                <w:kern w:val="0"/>
                <w:sz w:val="18"/>
                <w:szCs w:val="18"/>
                <w:highlight w:val="none"/>
                <w:u w:val="none"/>
                <w:lang w:val="en-US" w:eastAsia="zh-CN" w:bidi="ar"/>
              </w:rPr>
              <w:drawing>
                <wp:anchor distT="0" distB="0" distL="114300" distR="114300" simplePos="0" relativeHeight="251659264" behindDoc="0" locked="0" layoutInCell="1" allowOverlap="1">
                  <wp:simplePos x="0" y="0"/>
                  <wp:positionH relativeFrom="column">
                    <wp:posOffset>313055</wp:posOffset>
                  </wp:positionH>
                  <wp:positionV relativeFrom="paragraph">
                    <wp:posOffset>0</wp:posOffset>
                  </wp:positionV>
                  <wp:extent cx="152400" cy="9525"/>
                  <wp:effectExtent l="0" t="0" r="0" b="0"/>
                  <wp:wrapNone/>
                  <wp:docPr id="30" name="Shape5_SpCnt_1"/>
                  <wp:cNvGraphicFramePr/>
                  <a:graphic xmlns:a="http://schemas.openxmlformats.org/drawingml/2006/main">
                    <a:graphicData uri="http://schemas.openxmlformats.org/drawingml/2006/picture">
                      <pic:pic xmlns:pic="http://schemas.openxmlformats.org/drawingml/2006/picture">
                        <pic:nvPicPr>
                          <pic:cNvPr id="30" name="Shape5_SpCnt_1"/>
                          <pic:cNvPicPr/>
                        </pic:nvPicPr>
                        <pic:blipFill>
                          <a:blip r:embed="rId15"/>
                          <a:stretch>
                            <a:fillRect/>
                          </a:stretch>
                        </pic:blipFill>
                        <pic:spPr>
                          <a:xfrm>
                            <a:off x="0" y="0"/>
                            <a:ext cx="152400" cy="9525"/>
                          </a:xfrm>
                          <a:prstGeom prst="rect">
                            <a:avLst/>
                          </a:prstGeom>
                          <a:noFill/>
                          <a:ln>
                            <a:noFill/>
                          </a:ln>
                        </pic:spPr>
                      </pic:pic>
                    </a:graphicData>
                  </a:graphic>
                </wp:anchor>
              </w:drawing>
            </w:r>
            <w:r>
              <w:rPr>
                <w:rFonts w:hint="eastAsia" w:ascii="微软雅黑" w:hAnsi="微软雅黑" w:eastAsia="微软雅黑" w:cs="微软雅黑"/>
                <w:b/>
                <w:bCs/>
                <w:i w:val="0"/>
                <w:iCs w:val="0"/>
                <w:color w:val="auto"/>
                <w:kern w:val="0"/>
                <w:sz w:val="18"/>
                <w:szCs w:val="18"/>
                <w:highlight w:val="none"/>
                <w:u w:val="none"/>
                <w:lang w:val="en-US" w:eastAsia="zh-CN" w:bidi="ar"/>
              </w:rPr>
              <w:drawing>
                <wp:anchor distT="0" distB="0" distL="114300" distR="114300" simplePos="0" relativeHeight="251659264" behindDoc="0" locked="0" layoutInCell="1" allowOverlap="1">
                  <wp:simplePos x="0" y="0"/>
                  <wp:positionH relativeFrom="column">
                    <wp:posOffset>313055</wp:posOffset>
                  </wp:positionH>
                  <wp:positionV relativeFrom="paragraph">
                    <wp:posOffset>0</wp:posOffset>
                  </wp:positionV>
                  <wp:extent cx="152400" cy="9525"/>
                  <wp:effectExtent l="0" t="0" r="0" b="0"/>
                  <wp:wrapNone/>
                  <wp:docPr id="28" name="Shape4_SpCnt_1"/>
                  <wp:cNvGraphicFramePr/>
                  <a:graphic xmlns:a="http://schemas.openxmlformats.org/drawingml/2006/main">
                    <a:graphicData uri="http://schemas.openxmlformats.org/drawingml/2006/picture">
                      <pic:pic xmlns:pic="http://schemas.openxmlformats.org/drawingml/2006/picture">
                        <pic:nvPicPr>
                          <pic:cNvPr id="28" name="Shape4_SpCnt_1"/>
                          <pic:cNvPicPr/>
                        </pic:nvPicPr>
                        <pic:blipFill>
                          <a:blip r:embed="rId15"/>
                          <a:stretch>
                            <a:fillRect/>
                          </a:stretch>
                        </pic:blipFill>
                        <pic:spPr>
                          <a:xfrm>
                            <a:off x="0" y="0"/>
                            <a:ext cx="152400" cy="9525"/>
                          </a:xfrm>
                          <a:prstGeom prst="rect">
                            <a:avLst/>
                          </a:prstGeom>
                          <a:noFill/>
                          <a:ln>
                            <a:noFill/>
                          </a:ln>
                        </pic:spPr>
                      </pic:pic>
                    </a:graphicData>
                  </a:graphic>
                </wp:anchor>
              </w:drawing>
            </w:r>
            <w:r>
              <w:rPr>
                <w:rFonts w:hint="eastAsia" w:ascii="微软雅黑" w:hAnsi="微软雅黑" w:eastAsia="微软雅黑" w:cs="微软雅黑"/>
                <w:b/>
                <w:bCs/>
                <w:i w:val="0"/>
                <w:iCs w:val="0"/>
                <w:color w:val="auto"/>
                <w:kern w:val="0"/>
                <w:sz w:val="18"/>
                <w:szCs w:val="18"/>
                <w:highlight w:val="none"/>
                <w:u w:val="none"/>
                <w:lang w:val="en-US" w:eastAsia="zh-CN" w:bidi="ar"/>
              </w:rPr>
              <w:t>二、停车场管理系统、电脑、网络及相关配件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8" w:space="0"/>
              <w:left w:val="single" w:color="000000" w:sz="8" w:space="0"/>
              <w:bottom w:val="nil"/>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序号</w:t>
            </w:r>
          </w:p>
        </w:tc>
        <w:tc>
          <w:tcPr>
            <w:tcW w:w="1913" w:type="dxa"/>
            <w:tcBorders>
              <w:top w:val="single" w:color="000000" w:sz="8" w:space="0"/>
              <w:left w:val="single" w:color="000000" w:sz="4" w:space="0"/>
              <w:bottom w:val="nil"/>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名称</w:t>
            </w:r>
          </w:p>
        </w:tc>
        <w:tc>
          <w:tcPr>
            <w:tcW w:w="493" w:type="dxa"/>
            <w:tcBorders>
              <w:top w:val="single" w:color="000000" w:sz="8" w:space="0"/>
              <w:left w:val="single" w:color="000000" w:sz="4" w:space="0"/>
              <w:bottom w:val="nil"/>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数量</w:t>
            </w:r>
          </w:p>
        </w:tc>
        <w:tc>
          <w:tcPr>
            <w:tcW w:w="493" w:type="dxa"/>
            <w:tcBorders>
              <w:top w:val="single" w:color="000000" w:sz="8" w:space="0"/>
              <w:left w:val="single" w:color="000000" w:sz="4" w:space="0"/>
              <w:bottom w:val="nil"/>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单位</w:t>
            </w:r>
          </w:p>
        </w:tc>
        <w:tc>
          <w:tcPr>
            <w:tcW w:w="2560" w:type="dxa"/>
            <w:tcBorders>
              <w:top w:val="single" w:color="000000" w:sz="8" w:space="0"/>
              <w:left w:val="single" w:color="000000" w:sz="4" w:space="0"/>
              <w:bottom w:val="nil"/>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配置情况</w:t>
            </w:r>
          </w:p>
        </w:tc>
        <w:tc>
          <w:tcPr>
            <w:tcW w:w="3393" w:type="dxa"/>
            <w:tcBorders>
              <w:top w:val="single" w:color="000000" w:sz="8" w:space="0"/>
              <w:left w:val="single" w:color="000000" w:sz="4" w:space="0"/>
              <w:bottom w:val="nil"/>
              <w:right w:val="single" w:color="000000" w:sz="8"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工作站电脑</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台</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含显示器和鼠标键盘套件</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招标人自备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停车管理平台</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套</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千兆交换机</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台</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16口全千兆交换机</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电源插座</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10A-250V</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减速坡</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48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减速带中间部分，黄黑组合，一个组合长度500mm</w:t>
            </w:r>
          </w:p>
        </w:tc>
        <w:tc>
          <w:tcPr>
            <w:tcW w:w="3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减速坡端头</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减速带一端，黄色</w:t>
            </w: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减速坡端头</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个</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减速带一端，黑色</w:t>
            </w:r>
          </w:p>
        </w:tc>
        <w:tc>
          <w:tcPr>
            <w:tcW w:w="3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06" w:type="dxa"/>
            <w:gridSpan w:val="4"/>
            <w:tcBorders>
              <w:top w:val="nil"/>
              <w:left w:val="single" w:color="000000" w:sz="8" w:space="0"/>
              <w:bottom w:val="single" w:color="000000" w:sz="8"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电脑、网络及相关配件 小计</w:t>
            </w:r>
          </w:p>
        </w:tc>
        <w:tc>
          <w:tcPr>
            <w:tcW w:w="5953" w:type="dxa"/>
            <w:gridSpan w:val="2"/>
            <w:tcBorders>
              <w:top w:val="nil"/>
              <w:left w:val="single" w:color="000000" w:sz="4" w:space="0"/>
              <w:bottom w:val="single" w:color="000000" w:sz="8" w:space="0"/>
              <w:right w:val="single" w:color="000000" w:sz="4" w:space="0"/>
            </w:tcBorders>
            <w:shd w:val="clear" w:color="auto" w:fill="C0C0C0"/>
            <w:vAlign w:val="center"/>
          </w:tcPr>
          <w:p>
            <w:pPr>
              <w:jc w:val="center"/>
              <w:rPr>
                <w:rFonts w:hint="eastAsia" w:ascii="微软雅黑" w:hAnsi="微软雅黑" w:eastAsia="微软雅黑" w:cs="微软雅黑"/>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92"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三、施工材料、工程费和调试费等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8" w:space="0"/>
              <w:left w:val="single" w:color="000000" w:sz="8"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序号</w:t>
            </w:r>
          </w:p>
        </w:tc>
        <w:tc>
          <w:tcPr>
            <w:tcW w:w="1913" w:type="dxa"/>
            <w:tcBorders>
              <w:top w:val="single" w:color="000000" w:sz="8"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名称</w:t>
            </w:r>
          </w:p>
        </w:tc>
        <w:tc>
          <w:tcPr>
            <w:tcW w:w="493" w:type="dxa"/>
            <w:tcBorders>
              <w:top w:val="single" w:color="000000" w:sz="8"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数量</w:t>
            </w:r>
          </w:p>
        </w:tc>
        <w:tc>
          <w:tcPr>
            <w:tcW w:w="493" w:type="dxa"/>
            <w:tcBorders>
              <w:top w:val="single" w:color="000000" w:sz="8"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单位</w:t>
            </w:r>
          </w:p>
        </w:tc>
        <w:tc>
          <w:tcPr>
            <w:tcW w:w="2560" w:type="dxa"/>
            <w:tcBorders>
              <w:top w:val="single" w:color="000000" w:sz="8"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配置情况</w:t>
            </w:r>
          </w:p>
        </w:tc>
        <w:tc>
          <w:tcPr>
            <w:tcW w:w="3393" w:type="dxa"/>
            <w:tcBorders>
              <w:top w:val="single" w:color="000000" w:sz="8" w:space="0"/>
              <w:left w:val="single" w:color="000000" w:sz="4" w:space="0"/>
              <w:bottom w:val="single" w:color="000000" w:sz="4" w:space="0"/>
              <w:right w:val="single" w:color="000000" w:sz="8" w:space="0"/>
            </w:tcBorders>
            <w:shd w:val="clear" w:color="auto" w:fill="C0C0C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highlight w:val="none"/>
                <w:u w:val="none"/>
              </w:rPr>
            </w:pPr>
            <w:r>
              <w:rPr>
                <w:rFonts w:hint="eastAsia" w:ascii="微软雅黑" w:hAnsi="微软雅黑" w:eastAsia="微软雅黑" w:cs="微软雅黑"/>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施工材料</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米</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道闸控制</w:t>
            </w:r>
          </w:p>
        </w:tc>
        <w:tc>
          <w:tcPr>
            <w:tcW w:w="33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2</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500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米</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设备供电</w:t>
            </w:r>
          </w:p>
        </w:tc>
        <w:tc>
          <w:tcPr>
            <w:tcW w:w="33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3</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300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根</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2.8米一根</w:t>
            </w:r>
          </w:p>
        </w:tc>
        <w:tc>
          <w:tcPr>
            <w:tcW w:w="33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4</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500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米</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超五类非屏蔽网线</w:t>
            </w:r>
          </w:p>
        </w:tc>
        <w:tc>
          <w:tcPr>
            <w:tcW w:w="33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5</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项</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打磨片、管码、胶塞等</w:t>
            </w:r>
          </w:p>
        </w:tc>
        <w:tc>
          <w:tcPr>
            <w:tcW w:w="33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拆装设备</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项</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安装新设备</w:t>
            </w:r>
          </w:p>
        </w:tc>
        <w:tc>
          <w:tcPr>
            <w:tcW w:w="339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7</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土建施工</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5000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米</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339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8</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项</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含所有开沟、切割地感、综合布管布线等施工。</w:t>
            </w:r>
          </w:p>
        </w:tc>
        <w:tc>
          <w:tcPr>
            <w:tcW w:w="33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9</w:t>
            </w: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项</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安全岛部分工作量(含刷油漆或贴瓷砖)/以实际工程预算核算为准</w:t>
            </w:r>
          </w:p>
        </w:tc>
        <w:tc>
          <w:tcPr>
            <w:tcW w:w="33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系统调试</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套</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按停车场套数计算/以实际工程预算核算为准</w:t>
            </w:r>
          </w:p>
        </w:tc>
        <w:tc>
          <w:tcPr>
            <w:tcW w:w="339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4"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11</w:t>
            </w:r>
          </w:p>
        </w:tc>
        <w:tc>
          <w:tcPr>
            <w:tcW w:w="1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9525"/>
                  <wp:effectExtent l="0" t="0" r="0" b="0"/>
                  <wp:wrapNone/>
                  <wp:docPr id="41" name="Shape8"/>
                  <wp:cNvGraphicFramePr/>
                  <a:graphic xmlns:a="http://schemas.openxmlformats.org/drawingml/2006/main">
                    <a:graphicData uri="http://schemas.openxmlformats.org/drawingml/2006/picture">
                      <pic:pic xmlns:pic="http://schemas.openxmlformats.org/drawingml/2006/picture">
                        <pic:nvPicPr>
                          <pic:cNvPr id="41" name="Shape8"/>
                          <pic:cNvPicPr/>
                        </pic:nvPicPr>
                        <pic:blipFill>
                          <a:blip r:embed="rId15"/>
                          <a:stretch>
                            <a:fillRect/>
                          </a:stretch>
                        </pic:blipFill>
                        <pic:spPr>
                          <a:xfrm>
                            <a:off x="0" y="0"/>
                            <a:ext cx="152400" cy="9525"/>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9525"/>
                  <wp:effectExtent l="0" t="0" r="0" b="0"/>
                  <wp:wrapNone/>
                  <wp:docPr id="31" name="Shape9"/>
                  <wp:cNvGraphicFramePr/>
                  <a:graphic xmlns:a="http://schemas.openxmlformats.org/drawingml/2006/main">
                    <a:graphicData uri="http://schemas.openxmlformats.org/drawingml/2006/picture">
                      <pic:pic xmlns:pic="http://schemas.openxmlformats.org/drawingml/2006/picture">
                        <pic:nvPicPr>
                          <pic:cNvPr id="31" name="Shape9"/>
                          <pic:cNvPicPr/>
                        </pic:nvPicPr>
                        <pic:blipFill>
                          <a:blip r:embed="rId15"/>
                          <a:stretch>
                            <a:fillRect/>
                          </a:stretch>
                        </pic:blipFill>
                        <pic:spPr>
                          <a:xfrm>
                            <a:off x="0" y="0"/>
                            <a:ext cx="152400" cy="9525"/>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9525"/>
                  <wp:effectExtent l="0" t="0" r="0" b="0"/>
                  <wp:wrapNone/>
                  <wp:docPr id="29" name="Shape9_SpCnt_1"/>
                  <wp:cNvGraphicFramePr/>
                  <a:graphic xmlns:a="http://schemas.openxmlformats.org/drawingml/2006/main">
                    <a:graphicData uri="http://schemas.openxmlformats.org/drawingml/2006/picture">
                      <pic:pic xmlns:pic="http://schemas.openxmlformats.org/drawingml/2006/picture">
                        <pic:nvPicPr>
                          <pic:cNvPr id="29" name="Shape9_SpCnt_1"/>
                          <pic:cNvPicPr/>
                        </pic:nvPicPr>
                        <pic:blipFill>
                          <a:blip r:embed="rId15"/>
                          <a:stretch>
                            <a:fillRect/>
                          </a:stretch>
                        </pic:blipFill>
                        <pic:spPr>
                          <a:xfrm>
                            <a:off x="0" y="0"/>
                            <a:ext cx="152400" cy="9525"/>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9525"/>
                  <wp:effectExtent l="0" t="0" r="0" b="0"/>
                  <wp:wrapNone/>
                  <wp:docPr id="32" name="Shape10"/>
                  <wp:cNvGraphicFramePr/>
                  <a:graphic xmlns:a="http://schemas.openxmlformats.org/drawingml/2006/main">
                    <a:graphicData uri="http://schemas.openxmlformats.org/drawingml/2006/picture">
                      <pic:pic xmlns:pic="http://schemas.openxmlformats.org/drawingml/2006/picture">
                        <pic:nvPicPr>
                          <pic:cNvPr id="32" name="Shape10"/>
                          <pic:cNvPicPr/>
                        </pic:nvPicPr>
                        <pic:blipFill>
                          <a:blip r:embed="rId15"/>
                          <a:stretch>
                            <a:fillRect/>
                          </a:stretch>
                        </pic:blipFill>
                        <pic:spPr>
                          <a:xfrm>
                            <a:off x="0" y="0"/>
                            <a:ext cx="152400" cy="9525"/>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9525"/>
                  <wp:effectExtent l="0" t="0" r="0" b="0"/>
                  <wp:wrapNone/>
                  <wp:docPr id="33" name="Shape10_SpCnt_1"/>
                  <wp:cNvGraphicFramePr/>
                  <a:graphic xmlns:a="http://schemas.openxmlformats.org/drawingml/2006/main">
                    <a:graphicData uri="http://schemas.openxmlformats.org/drawingml/2006/picture">
                      <pic:pic xmlns:pic="http://schemas.openxmlformats.org/drawingml/2006/picture">
                        <pic:nvPicPr>
                          <pic:cNvPr id="33" name="Shape10_SpCnt_1"/>
                          <pic:cNvPicPr/>
                        </pic:nvPicPr>
                        <pic:blipFill>
                          <a:blip r:embed="rId15"/>
                          <a:stretch>
                            <a:fillRect/>
                          </a:stretch>
                        </pic:blipFill>
                        <pic:spPr>
                          <a:xfrm>
                            <a:off x="0" y="0"/>
                            <a:ext cx="152400" cy="9525"/>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9525"/>
                  <wp:effectExtent l="0" t="0" r="0" b="0"/>
                  <wp:wrapNone/>
                  <wp:docPr id="34" name="Shape8_SpCnt_1"/>
                  <wp:cNvGraphicFramePr/>
                  <a:graphic xmlns:a="http://schemas.openxmlformats.org/drawingml/2006/main">
                    <a:graphicData uri="http://schemas.openxmlformats.org/drawingml/2006/picture">
                      <pic:pic xmlns:pic="http://schemas.openxmlformats.org/drawingml/2006/picture">
                        <pic:nvPicPr>
                          <pic:cNvPr id="34" name="Shape8_SpCnt_1"/>
                          <pic:cNvPicPr/>
                        </pic:nvPicPr>
                        <pic:blipFill>
                          <a:blip r:embed="rId15"/>
                          <a:stretch>
                            <a:fillRect/>
                          </a:stretch>
                        </pic:blipFill>
                        <pic:spPr>
                          <a:xfrm>
                            <a:off x="0" y="0"/>
                            <a:ext cx="152400" cy="9525"/>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9525"/>
                  <wp:effectExtent l="0" t="0" r="0" b="0"/>
                  <wp:wrapNone/>
                  <wp:docPr id="35" name="Shape7"/>
                  <wp:cNvGraphicFramePr/>
                  <a:graphic xmlns:a="http://schemas.openxmlformats.org/drawingml/2006/main">
                    <a:graphicData uri="http://schemas.openxmlformats.org/drawingml/2006/picture">
                      <pic:pic xmlns:pic="http://schemas.openxmlformats.org/drawingml/2006/picture">
                        <pic:nvPicPr>
                          <pic:cNvPr id="35" name="Shape7"/>
                          <pic:cNvPicPr/>
                        </pic:nvPicPr>
                        <pic:blipFill>
                          <a:blip r:embed="rId15"/>
                          <a:stretch>
                            <a:fillRect/>
                          </a:stretch>
                        </pic:blipFill>
                        <pic:spPr>
                          <a:xfrm>
                            <a:off x="0" y="0"/>
                            <a:ext cx="152400" cy="9525"/>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9525"/>
                  <wp:effectExtent l="0" t="0" r="0" b="0"/>
                  <wp:wrapNone/>
                  <wp:docPr id="36" name="Shape7_SpCnt_1"/>
                  <wp:cNvGraphicFramePr/>
                  <a:graphic xmlns:a="http://schemas.openxmlformats.org/drawingml/2006/main">
                    <a:graphicData uri="http://schemas.openxmlformats.org/drawingml/2006/picture">
                      <pic:pic xmlns:pic="http://schemas.openxmlformats.org/drawingml/2006/picture">
                        <pic:nvPicPr>
                          <pic:cNvPr id="36" name="Shape7_SpCnt_1"/>
                          <pic:cNvPicPr/>
                        </pic:nvPicPr>
                        <pic:blipFill>
                          <a:blip r:embed="rId15"/>
                          <a:stretch>
                            <a:fillRect/>
                          </a:stretch>
                        </pic:blipFill>
                        <pic:spPr>
                          <a:xfrm>
                            <a:off x="0" y="0"/>
                            <a:ext cx="152400" cy="9525"/>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18"/>
                <w:szCs w:val="18"/>
                <w:highlight w:val="none"/>
                <w:u w:val="none"/>
                <w:lang w:val="en-US" w:eastAsia="zh-CN" w:bidi="ar"/>
              </w:rPr>
              <w:t>运输费用</w:t>
            </w:r>
          </w:p>
        </w:tc>
        <w:tc>
          <w:tcPr>
            <w:tcW w:w="4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w:t>
            </w:r>
          </w:p>
        </w:tc>
        <w:tc>
          <w:tcPr>
            <w:tcW w:w="4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趟</w:t>
            </w:r>
          </w:p>
        </w:tc>
        <w:tc>
          <w:tcPr>
            <w:tcW w:w="2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区域不同、收费不同</w:t>
            </w:r>
          </w:p>
        </w:tc>
        <w:tc>
          <w:tcPr>
            <w:tcW w:w="3393" w:type="dxa"/>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微软雅黑" w:hAnsi="微软雅黑" w:eastAsia="微软雅黑" w:cs="微软雅黑"/>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监控系统</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4</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支</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含硬盘、刻录机、显示器</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8"/>
                <w:szCs w:val="18"/>
                <w:highlight w:val="none"/>
                <w:u w:val="none"/>
              </w:rPr>
            </w:pPr>
          </w:p>
        </w:tc>
      </w:tr>
    </w:tbl>
    <w:p>
      <w:pPr>
        <w:pStyle w:val="30"/>
        <w:numPr>
          <w:ilvl w:val="0"/>
          <w:numId w:val="0"/>
        </w:numPr>
        <w:tabs>
          <w:tab w:val="left" w:pos="220"/>
        </w:tabs>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备注：（1）智能停车系统设备采购、安装及维保费用总预算约为 290000.00元内(大写:人民币贰拾玖万元整），其中智能停车系统设备采购及安装费用约为210,000.00元(大写:人民币贰拾壹万元整），5年的维保费用约为80,000.00元(大写:人民币捌万元整），以中标人实际支出费用为准。智能停车系统设备采购、安装及维保等一切费用已包含在中标价内由中标人负责，招标人不再另行支出</w:t>
      </w:r>
      <w:r>
        <w:rPr>
          <w:rFonts w:hint="eastAsia" w:ascii="宋体" w:hAnsi="宋体" w:eastAsia="宋体" w:cs="宋体"/>
          <w:b w:val="0"/>
          <w:bCs w:val="0"/>
          <w:color w:val="auto"/>
          <w:sz w:val="24"/>
          <w:szCs w:val="24"/>
          <w:highlight w:val="none"/>
          <w:lang w:val="en-US" w:eastAsia="zh-CN"/>
        </w:rPr>
        <w:t>。</w:t>
      </w:r>
    </w:p>
    <w:p>
      <w:pPr>
        <w:pStyle w:val="30"/>
        <w:numPr>
          <w:ilvl w:val="0"/>
          <w:numId w:val="0"/>
        </w:numPr>
        <w:spacing w:line="360" w:lineRule="auto"/>
        <w:ind w:left="415" w:leftChars="0" w:hanging="415" w:hangingChars="173"/>
        <w:jc w:val="left"/>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（2）质量标准：清单中第一部分“硬件部分”设备</w:t>
      </w:r>
      <w:r>
        <w:rPr>
          <w:rFonts w:hint="eastAsia" w:ascii="宋体" w:hAnsi="宋体" w:eastAsia="宋体" w:cs="宋体"/>
          <w:color w:val="auto"/>
          <w:kern w:val="0"/>
          <w:sz w:val="26"/>
          <w:szCs w:val="26"/>
          <w:highlight w:val="none"/>
          <w:lang w:val="en-US" w:eastAsia="zh-CN"/>
        </w:rPr>
        <w:t>参考品牌为艾科、捷顺、启功或同等质量以上的品牌</w:t>
      </w:r>
      <w:r>
        <w:rPr>
          <w:rFonts w:hint="eastAsia" w:ascii="宋体" w:hAnsi="宋体" w:cs="宋体"/>
          <w:b w:val="0"/>
          <w:bCs w:val="0"/>
          <w:color w:val="auto"/>
          <w:sz w:val="24"/>
          <w:szCs w:val="24"/>
          <w:highlight w:val="none"/>
          <w:lang w:val="en-US" w:eastAsia="zh-CN"/>
        </w:rPr>
        <w:t>，且必须提供厂家授权书，质保期5年。中标人拟投入的设备清单（含品牌、型号等）须招标人确认后才能实施安装，否则视为中标人违约。</w:t>
      </w:r>
    </w:p>
    <w:p>
      <w:pPr>
        <w:pStyle w:val="30"/>
        <w:numPr>
          <w:ilvl w:val="0"/>
          <w:numId w:val="12"/>
        </w:numPr>
        <w:spacing w:line="360" w:lineRule="auto"/>
        <w:ind w:left="417" w:leftChars="0" w:hanging="417" w:hangingChars="17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highlight w:val="none"/>
          <w:lang w:val="en-US" w:eastAsia="zh-CN"/>
        </w:rPr>
        <w:t>停</w:t>
      </w:r>
      <w:r>
        <w:rPr>
          <w:rFonts w:hint="eastAsia" w:ascii="宋体" w:hAnsi="宋体" w:eastAsia="宋体" w:cs="宋体"/>
          <w:b/>
          <w:bCs/>
          <w:color w:val="auto"/>
          <w:sz w:val="24"/>
          <w:szCs w:val="24"/>
          <w:highlight w:val="none"/>
          <w:lang w:val="en-US" w:eastAsia="zh-CN"/>
        </w:rPr>
        <w:t>泊位设置</w:t>
      </w:r>
    </w:p>
    <w:p>
      <w:pPr>
        <w:pStyle w:val="30"/>
        <w:numPr>
          <w:ilvl w:val="0"/>
          <w:numId w:val="0"/>
        </w:numPr>
        <w:tabs>
          <w:tab w:val="left" w:pos="220"/>
        </w:tabs>
        <w:spacing w:line="360" w:lineRule="auto"/>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目前吉利</w:t>
      </w:r>
      <w:r>
        <w:rPr>
          <w:rFonts w:hint="eastAsia" w:ascii="宋体" w:hAnsi="宋体" w:cs="宋体"/>
          <w:b w:val="0"/>
          <w:bCs w:val="0"/>
          <w:color w:val="auto"/>
          <w:sz w:val="24"/>
          <w:szCs w:val="24"/>
          <w:highlight w:val="none"/>
          <w:lang w:val="en-US" w:eastAsia="zh-CN"/>
        </w:rPr>
        <w:t>竹甫村</w:t>
      </w:r>
      <w:r>
        <w:rPr>
          <w:rFonts w:hint="eastAsia" w:ascii="宋体" w:hAnsi="宋体" w:eastAsia="宋体" w:cs="宋体"/>
          <w:b w:val="0"/>
          <w:bCs w:val="0"/>
          <w:color w:val="auto"/>
          <w:sz w:val="24"/>
          <w:szCs w:val="24"/>
          <w:highlight w:val="none"/>
          <w:lang w:val="en-US" w:eastAsia="zh-CN"/>
        </w:rPr>
        <w:t>已有划线车位约</w:t>
      </w:r>
      <w:r>
        <w:rPr>
          <w:rFonts w:hint="eastAsia" w:ascii="宋体" w:hAnsi="宋体" w:cs="宋体"/>
          <w:b w:val="0"/>
          <w:bCs w:val="0"/>
          <w:color w:val="auto"/>
          <w:sz w:val="24"/>
          <w:szCs w:val="24"/>
          <w:highlight w:val="none"/>
          <w:lang w:val="en-US" w:eastAsia="zh-CN"/>
        </w:rPr>
        <w:t>200</w:t>
      </w:r>
      <w:r>
        <w:rPr>
          <w:rFonts w:hint="eastAsia" w:ascii="宋体" w:hAnsi="宋体" w:eastAsia="宋体" w:cs="宋体"/>
          <w:b w:val="0"/>
          <w:bCs w:val="0"/>
          <w:color w:val="auto"/>
          <w:sz w:val="24"/>
          <w:szCs w:val="24"/>
          <w:highlight w:val="none"/>
          <w:lang w:val="en-US" w:eastAsia="zh-CN"/>
        </w:rPr>
        <w:t>个，中标人需按照</w:t>
      </w:r>
      <w:r>
        <w:rPr>
          <w:rFonts w:hint="eastAsia" w:ascii="宋体" w:hAnsi="宋体" w:cs="宋体"/>
          <w:b w:val="0"/>
          <w:bCs w:val="0"/>
          <w:color w:val="auto"/>
          <w:sz w:val="24"/>
          <w:szCs w:val="24"/>
          <w:highlight w:val="none"/>
          <w:lang w:val="en-US" w:eastAsia="zh-CN"/>
        </w:rPr>
        <w:t>招标人要求</w:t>
      </w:r>
      <w:r>
        <w:rPr>
          <w:rFonts w:hint="eastAsia" w:ascii="宋体" w:hAnsi="宋体" w:eastAsia="宋体" w:cs="宋体"/>
          <w:b w:val="0"/>
          <w:bCs w:val="0"/>
          <w:color w:val="auto"/>
          <w:sz w:val="24"/>
          <w:szCs w:val="24"/>
          <w:highlight w:val="none"/>
          <w:lang w:val="en-US" w:eastAsia="zh-CN"/>
        </w:rPr>
        <w:t>设置合理的泊位进行管理，如需增加或减少车位，需提交可行性方案报招标人审批后方可进行操作。</w:t>
      </w:r>
      <w:r>
        <w:rPr>
          <w:rFonts w:hint="eastAsia" w:ascii="宋体" w:hAnsi="宋体" w:eastAsia="宋体" w:cs="宋体"/>
          <w:b w:val="0"/>
          <w:bCs w:val="0"/>
          <w:color w:val="auto"/>
          <w:sz w:val="24"/>
          <w:szCs w:val="24"/>
          <w:highlight w:val="none"/>
          <w:lang w:val="en-US" w:eastAsia="zh-CN"/>
        </w:rPr>
        <w:br w:type="textWrapping"/>
      </w:r>
    </w:p>
    <w:p>
      <w:pPr>
        <w:pStyle w:val="30"/>
        <w:numPr>
          <w:ilvl w:val="0"/>
          <w:numId w:val="12"/>
        </w:numPr>
        <w:spacing w:line="360" w:lineRule="auto"/>
        <w:ind w:left="417" w:leftChars="0" w:hanging="417" w:hangingChars="17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运营管理</w:t>
      </w:r>
    </w:p>
    <w:p>
      <w:pPr>
        <w:pStyle w:val="6"/>
        <w:ind w:left="415" w:leftChars="0" w:hanging="415" w:hangingChars="173"/>
        <w:rPr>
          <w:rFonts w:hint="eastAsia" w:ascii="宋体" w:hAnsi="宋体" w:eastAsia="宋体" w:cs="宋体"/>
          <w:color w:val="auto"/>
          <w:sz w:val="24"/>
          <w:szCs w:val="24"/>
          <w:highlight w:val="none"/>
        </w:rPr>
      </w:pPr>
    </w:p>
    <w:p>
      <w:pPr>
        <w:pStyle w:val="30"/>
        <w:numPr>
          <w:ilvl w:val="1"/>
          <w:numId w:val="12"/>
        </w:numPr>
        <w:spacing w:line="360" w:lineRule="auto"/>
        <w:ind w:left="417" w:leftChars="0" w:hanging="417" w:hangingChars="17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停车收费方案</w:t>
      </w:r>
    </w:p>
    <w:p>
      <w:pPr>
        <w:pStyle w:val="30"/>
        <w:numPr>
          <w:ilvl w:val="2"/>
          <w:numId w:val="12"/>
        </w:numPr>
        <w:spacing w:line="360" w:lineRule="auto"/>
        <w:ind w:left="415" w:leftChars="0" w:hanging="415" w:hangingChars="173"/>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服务期</w:t>
      </w:r>
      <w:r>
        <w:rPr>
          <w:rFonts w:hint="eastAsia" w:ascii="宋体" w:hAnsi="宋体" w:eastAsia="宋体" w:cs="宋体"/>
          <w:b w:val="0"/>
          <w:bCs w:val="0"/>
          <w:color w:val="auto"/>
          <w:sz w:val="24"/>
          <w:szCs w:val="24"/>
          <w:highlight w:val="none"/>
          <w:lang w:val="en-US" w:eastAsia="zh-CN"/>
        </w:rPr>
        <w:t>为</w:t>
      </w:r>
      <w:r>
        <w:rPr>
          <w:rFonts w:hint="eastAsia" w:ascii="宋体" w:hAnsi="宋体" w:cs="宋体"/>
          <w:b w:val="0"/>
          <w:bCs w:val="0"/>
          <w:color w:val="auto"/>
          <w:sz w:val="24"/>
          <w:szCs w:val="24"/>
          <w:highlight w:val="none"/>
          <w:lang w:val="en-US" w:eastAsia="zh-CN"/>
        </w:rPr>
        <w:t>5年</w:t>
      </w:r>
      <w:r>
        <w:rPr>
          <w:rFonts w:hint="eastAsia" w:ascii="宋体" w:hAnsi="宋体" w:eastAsia="宋体" w:cs="宋体"/>
          <w:b w:val="0"/>
          <w:bCs w:val="0"/>
          <w:color w:val="auto"/>
          <w:sz w:val="24"/>
          <w:szCs w:val="24"/>
          <w:highlight w:val="none"/>
          <w:lang w:val="en-US" w:eastAsia="zh-CN"/>
        </w:rPr>
        <w:t>，中标人同</w:t>
      </w:r>
      <w:r>
        <w:rPr>
          <w:rFonts w:hint="eastAsia" w:ascii="宋体" w:hAnsi="宋体" w:cs="宋体"/>
          <w:b w:val="0"/>
          <w:bCs w:val="0"/>
          <w:color w:val="auto"/>
          <w:sz w:val="24"/>
          <w:szCs w:val="24"/>
          <w:highlight w:val="none"/>
          <w:lang w:val="en-US" w:eastAsia="zh-CN"/>
        </w:rPr>
        <w:t>招标人</w:t>
      </w:r>
      <w:r>
        <w:rPr>
          <w:rFonts w:hint="eastAsia" w:ascii="宋体" w:hAnsi="宋体" w:eastAsia="宋体" w:cs="宋体"/>
          <w:b w:val="0"/>
          <w:bCs w:val="0"/>
          <w:color w:val="auto"/>
          <w:sz w:val="24"/>
          <w:szCs w:val="24"/>
          <w:highlight w:val="none"/>
          <w:lang w:val="en-US" w:eastAsia="zh-CN"/>
        </w:rPr>
        <w:t>签署车辆停放管理合同书，按照中标金额向</w:t>
      </w:r>
      <w:r>
        <w:rPr>
          <w:rFonts w:hint="eastAsia" w:ascii="宋体" w:hAnsi="宋体" w:cs="宋体"/>
          <w:b w:val="0"/>
          <w:bCs w:val="0"/>
          <w:color w:val="auto"/>
          <w:sz w:val="24"/>
          <w:szCs w:val="24"/>
          <w:highlight w:val="none"/>
          <w:lang w:val="en-US" w:eastAsia="zh-CN"/>
        </w:rPr>
        <w:t>招标人</w:t>
      </w:r>
      <w:r>
        <w:rPr>
          <w:rFonts w:hint="eastAsia" w:ascii="宋体" w:hAnsi="宋体" w:eastAsia="宋体" w:cs="宋体"/>
          <w:b w:val="0"/>
          <w:bCs w:val="0"/>
          <w:color w:val="auto"/>
          <w:sz w:val="24"/>
          <w:szCs w:val="24"/>
          <w:highlight w:val="none"/>
          <w:lang w:val="en-US" w:eastAsia="zh-CN"/>
        </w:rPr>
        <w:t>缴纳车辆停放管理服务维护费。</w:t>
      </w:r>
      <w:r>
        <w:rPr>
          <w:rFonts w:hint="eastAsia" w:ascii="宋体" w:hAnsi="宋体" w:cs="宋体"/>
          <w:b w:val="0"/>
          <w:bCs w:val="0"/>
          <w:color w:val="auto"/>
          <w:sz w:val="24"/>
          <w:szCs w:val="24"/>
          <w:highlight w:val="none"/>
          <w:lang w:val="en-US" w:eastAsia="zh-CN"/>
        </w:rPr>
        <w:t>自第一年起，每两年为一个周期，每个周期内的年度管理费在上一个周期的基础上按首年管理费的8%固定递增</w:t>
      </w:r>
      <w:r>
        <w:rPr>
          <w:rFonts w:hint="eastAsia" w:ascii="宋体" w:hAnsi="宋体" w:cs="宋体"/>
          <w:color w:val="auto"/>
          <w:sz w:val="24"/>
          <w:highlight w:val="none"/>
          <w:lang w:val="en-US" w:eastAsia="zh-CN"/>
        </w:rPr>
        <w:t>（比如首年25万，第1-2年为第一个周期（第一个周期内的年度管理费均为25万），第3-4年为第二个周期，第二个周期（第3-4年）内的年度管理费是25万</w:t>
      </w:r>
      <w:r>
        <w:rPr>
          <w:rFonts w:hint="default" w:ascii="Arial" w:hAnsi="Arial" w:cs="Arial"/>
          <w:color w:val="auto"/>
          <w:sz w:val="24"/>
          <w:highlight w:val="none"/>
          <w:lang w:val="en-US" w:eastAsia="zh-CN"/>
        </w:rPr>
        <w:t>×</w:t>
      </w:r>
      <w:r>
        <w:rPr>
          <w:rFonts w:hint="eastAsia" w:ascii="宋体" w:hAnsi="宋体" w:cs="宋体"/>
          <w:color w:val="auto"/>
          <w:sz w:val="24"/>
          <w:highlight w:val="none"/>
          <w:lang w:val="en-US" w:eastAsia="zh-CN"/>
        </w:rPr>
        <w:t>（100%+8%）=27万，第5年为第三个周期，第三个周期在第二个周期的基础上，增加8%，即27</w:t>
      </w:r>
      <w:r>
        <w:rPr>
          <w:rFonts w:hint="default" w:ascii="Arial" w:hAnsi="Arial" w:cs="Arial"/>
          <w:color w:val="auto"/>
          <w:sz w:val="24"/>
          <w:highlight w:val="none"/>
          <w:lang w:val="en-US" w:eastAsia="zh-CN"/>
        </w:rPr>
        <w:t>×</w:t>
      </w:r>
      <w:r>
        <w:rPr>
          <w:rFonts w:hint="eastAsia" w:ascii="宋体" w:hAnsi="宋体" w:cs="宋体"/>
          <w:color w:val="auto"/>
          <w:sz w:val="24"/>
          <w:highlight w:val="none"/>
          <w:lang w:val="en-US" w:eastAsia="zh-CN"/>
        </w:rPr>
        <w:t>（100%+8%）=29.16万）</w:t>
      </w:r>
      <w:r>
        <w:rPr>
          <w:rFonts w:hint="eastAsia" w:ascii="宋体" w:hAnsi="宋体" w:eastAsia="宋体" w:cs="宋体"/>
          <w:b w:val="0"/>
          <w:bCs w:val="0"/>
          <w:color w:val="auto"/>
          <w:sz w:val="24"/>
          <w:szCs w:val="24"/>
          <w:highlight w:val="none"/>
          <w:lang w:val="en-US" w:eastAsia="zh-CN"/>
        </w:rPr>
        <w:t>，每次缴纳的车辆停放管理服务维护费由</w:t>
      </w:r>
      <w:r>
        <w:rPr>
          <w:rFonts w:hint="eastAsia" w:ascii="宋体" w:hAnsi="宋体" w:cs="宋体"/>
          <w:b w:val="0"/>
          <w:bCs w:val="0"/>
          <w:color w:val="auto"/>
          <w:sz w:val="24"/>
          <w:szCs w:val="24"/>
          <w:highlight w:val="none"/>
          <w:lang w:val="en-US" w:eastAsia="zh-CN"/>
        </w:rPr>
        <w:t>招标人</w:t>
      </w:r>
      <w:r>
        <w:rPr>
          <w:rFonts w:hint="eastAsia" w:ascii="宋体" w:hAnsi="宋体" w:eastAsia="宋体" w:cs="宋体"/>
          <w:b w:val="0"/>
          <w:bCs w:val="0"/>
          <w:color w:val="auto"/>
          <w:sz w:val="24"/>
          <w:szCs w:val="24"/>
          <w:highlight w:val="none"/>
          <w:lang w:val="en-US" w:eastAsia="zh-CN"/>
        </w:rPr>
        <w:t>开具有效的租金收据给中标人。停车费收取对象为临时停放车辆和外地月租车，按</w:t>
      </w:r>
      <w:r>
        <w:rPr>
          <w:rFonts w:hint="eastAsia" w:ascii="宋体" w:hAnsi="宋体" w:cs="宋体"/>
          <w:b w:val="0"/>
          <w:bCs w:val="0"/>
          <w:color w:val="auto"/>
          <w:sz w:val="24"/>
          <w:szCs w:val="24"/>
          <w:highlight w:val="none"/>
          <w:lang w:val="en-US" w:eastAsia="zh-CN"/>
        </w:rPr>
        <w:t>招标人</w:t>
      </w:r>
      <w:r>
        <w:rPr>
          <w:rFonts w:hint="eastAsia" w:ascii="宋体" w:hAnsi="宋体" w:eastAsia="宋体" w:cs="宋体"/>
          <w:b w:val="0"/>
          <w:bCs w:val="0"/>
          <w:color w:val="auto"/>
          <w:sz w:val="24"/>
          <w:szCs w:val="24"/>
          <w:highlight w:val="none"/>
          <w:lang w:val="en-US" w:eastAsia="zh-CN"/>
        </w:rPr>
        <w:t>制定收费标准收取停车费。政府或下辖单位办公的车辆由</w:t>
      </w:r>
      <w:r>
        <w:rPr>
          <w:rFonts w:hint="eastAsia" w:ascii="宋体" w:hAnsi="宋体" w:cs="宋体"/>
          <w:b w:val="0"/>
          <w:bCs w:val="0"/>
          <w:color w:val="auto"/>
          <w:sz w:val="24"/>
          <w:szCs w:val="24"/>
          <w:highlight w:val="none"/>
          <w:lang w:val="en-US" w:eastAsia="zh-CN"/>
        </w:rPr>
        <w:t>招标人</w:t>
      </w:r>
      <w:r>
        <w:rPr>
          <w:rFonts w:hint="eastAsia" w:ascii="宋体" w:hAnsi="宋体" w:eastAsia="宋体" w:cs="宋体"/>
          <w:b w:val="0"/>
          <w:bCs w:val="0"/>
          <w:color w:val="auto"/>
          <w:sz w:val="24"/>
          <w:szCs w:val="24"/>
          <w:highlight w:val="none"/>
          <w:lang w:val="en-US" w:eastAsia="zh-CN"/>
        </w:rPr>
        <w:t>统一登记后送中标人录入车牌免费。与</w:t>
      </w:r>
      <w:r>
        <w:rPr>
          <w:rFonts w:hint="eastAsia" w:ascii="宋体" w:hAnsi="宋体" w:cs="宋体"/>
          <w:b w:val="0"/>
          <w:bCs w:val="0"/>
          <w:color w:val="auto"/>
          <w:sz w:val="24"/>
          <w:szCs w:val="24"/>
          <w:highlight w:val="none"/>
          <w:lang w:val="en-US" w:eastAsia="zh-CN"/>
        </w:rPr>
        <w:t>招标人</w:t>
      </w:r>
      <w:r>
        <w:rPr>
          <w:rFonts w:hint="eastAsia" w:ascii="宋体" w:hAnsi="宋体" w:eastAsia="宋体" w:cs="宋体"/>
          <w:b w:val="0"/>
          <w:bCs w:val="0"/>
          <w:color w:val="auto"/>
          <w:sz w:val="24"/>
          <w:szCs w:val="24"/>
          <w:highlight w:val="none"/>
          <w:lang w:val="en-US" w:eastAsia="zh-CN"/>
        </w:rPr>
        <w:t>存在合同关系的车辆免费。</w:t>
      </w:r>
    </w:p>
    <w:p>
      <w:pPr>
        <w:pStyle w:val="30"/>
        <w:numPr>
          <w:ilvl w:val="2"/>
          <w:numId w:val="12"/>
        </w:numPr>
        <w:spacing w:line="360" w:lineRule="auto"/>
        <w:ind w:left="415" w:leftChars="0" w:hanging="415" w:hangingChars="173"/>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吉利竹甫村</w:t>
      </w:r>
      <w:r>
        <w:rPr>
          <w:rFonts w:hint="eastAsia" w:ascii="宋体" w:hAnsi="宋体" w:eastAsia="宋体" w:cs="宋体"/>
          <w:b w:val="0"/>
          <w:bCs w:val="0"/>
          <w:color w:val="auto"/>
          <w:sz w:val="24"/>
          <w:szCs w:val="24"/>
          <w:highlight w:val="none"/>
          <w:lang w:val="en-US" w:eastAsia="zh-CN"/>
        </w:rPr>
        <w:t>村民自有车辆进行实名登记。</w:t>
      </w:r>
      <w:r>
        <w:rPr>
          <w:rFonts w:hint="eastAsia" w:ascii="宋体" w:hAnsi="宋体" w:cs="宋体"/>
          <w:b w:val="0"/>
          <w:bCs w:val="0"/>
          <w:color w:val="auto"/>
          <w:sz w:val="24"/>
          <w:szCs w:val="24"/>
          <w:highlight w:val="none"/>
          <w:lang w:val="en-US" w:eastAsia="zh-CN"/>
        </w:rPr>
        <w:t>吉利竹甫村</w:t>
      </w:r>
      <w:r>
        <w:rPr>
          <w:rFonts w:hint="eastAsia" w:ascii="宋体" w:hAnsi="宋体" w:eastAsia="宋体" w:cs="宋体"/>
          <w:b w:val="0"/>
          <w:bCs w:val="0"/>
          <w:color w:val="auto"/>
          <w:sz w:val="24"/>
          <w:szCs w:val="24"/>
          <w:highlight w:val="none"/>
          <w:lang w:val="en-US" w:eastAsia="zh-CN"/>
        </w:rPr>
        <w:t>村民登记区域停车位必须是</w:t>
      </w:r>
      <w:r>
        <w:rPr>
          <w:rFonts w:hint="eastAsia" w:ascii="宋体" w:hAnsi="宋体" w:cs="宋体"/>
          <w:b w:val="0"/>
          <w:bCs w:val="0"/>
          <w:color w:val="auto"/>
          <w:sz w:val="24"/>
          <w:szCs w:val="24"/>
          <w:highlight w:val="none"/>
          <w:lang w:val="en-US" w:eastAsia="zh-CN"/>
        </w:rPr>
        <w:t>吉利竹甫村</w:t>
      </w:r>
      <w:r>
        <w:rPr>
          <w:rFonts w:hint="eastAsia" w:ascii="宋体" w:hAnsi="宋体" w:eastAsia="宋体" w:cs="宋体"/>
          <w:b w:val="0"/>
          <w:bCs w:val="0"/>
          <w:color w:val="auto"/>
          <w:sz w:val="24"/>
          <w:szCs w:val="24"/>
          <w:highlight w:val="none"/>
          <w:lang w:val="en-US" w:eastAsia="zh-CN"/>
        </w:rPr>
        <w:t>户籍村民，办理必须出示</w:t>
      </w:r>
      <w:r>
        <w:rPr>
          <w:rFonts w:hint="eastAsia" w:ascii="宋体" w:hAnsi="宋体" w:cs="宋体"/>
          <w:b w:val="0"/>
          <w:bCs w:val="0"/>
          <w:color w:val="auto"/>
          <w:sz w:val="24"/>
          <w:szCs w:val="24"/>
          <w:highlight w:val="none"/>
          <w:lang w:val="en-US" w:eastAsia="zh-CN"/>
        </w:rPr>
        <w:t>吉利竹甫村</w:t>
      </w:r>
      <w:r>
        <w:rPr>
          <w:rFonts w:hint="eastAsia" w:ascii="宋体" w:hAnsi="宋体" w:eastAsia="宋体" w:cs="宋体"/>
          <w:b w:val="0"/>
          <w:bCs w:val="0"/>
          <w:color w:val="auto"/>
          <w:sz w:val="24"/>
          <w:szCs w:val="24"/>
          <w:highlight w:val="none"/>
          <w:lang w:val="en-US" w:eastAsia="zh-CN"/>
        </w:rPr>
        <w:t>村民身份证、户口本等证明及属于本人的行驶证资料。如出现亲属关系的由</w:t>
      </w:r>
      <w:r>
        <w:rPr>
          <w:rFonts w:hint="eastAsia" w:ascii="宋体" w:hAnsi="宋体" w:cs="宋体"/>
          <w:b w:val="0"/>
          <w:bCs w:val="0"/>
          <w:color w:val="auto"/>
          <w:sz w:val="24"/>
          <w:szCs w:val="24"/>
          <w:highlight w:val="none"/>
          <w:lang w:val="en-US" w:eastAsia="zh-CN"/>
        </w:rPr>
        <w:t>招标人</w:t>
      </w:r>
      <w:r>
        <w:rPr>
          <w:rFonts w:hint="eastAsia" w:ascii="宋体" w:hAnsi="宋体" w:eastAsia="宋体" w:cs="宋体"/>
          <w:b w:val="0"/>
          <w:bCs w:val="0"/>
          <w:color w:val="auto"/>
          <w:sz w:val="24"/>
          <w:szCs w:val="24"/>
          <w:highlight w:val="none"/>
          <w:lang w:val="en-US" w:eastAsia="zh-CN"/>
        </w:rPr>
        <w:t>出示相关证明方可办理，例如嫁入</w:t>
      </w:r>
      <w:r>
        <w:rPr>
          <w:rFonts w:hint="eastAsia" w:ascii="宋体" w:hAnsi="宋体" w:cs="宋体"/>
          <w:b w:val="0"/>
          <w:bCs w:val="0"/>
          <w:color w:val="auto"/>
          <w:sz w:val="24"/>
          <w:szCs w:val="24"/>
          <w:highlight w:val="none"/>
          <w:lang w:val="en-US" w:eastAsia="zh-CN"/>
        </w:rPr>
        <w:t>吉利竹甫村</w:t>
      </w:r>
      <w:r>
        <w:rPr>
          <w:rFonts w:hint="eastAsia" w:ascii="宋体" w:hAnsi="宋体" w:eastAsia="宋体" w:cs="宋体"/>
          <w:b w:val="0"/>
          <w:bCs w:val="0"/>
          <w:color w:val="auto"/>
          <w:sz w:val="24"/>
          <w:szCs w:val="24"/>
          <w:highlight w:val="none"/>
          <w:lang w:val="en-US" w:eastAsia="zh-CN"/>
        </w:rPr>
        <w:t>但户口未迁入等情况。村民出租屋租户车辆办理月租车位必须出示本人车辆相关证明，由出租屋屋主统一收集提供租户车牌信息，并登记出租屋屋主联系电话。</w:t>
      </w:r>
    </w:p>
    <w:p>
      <w:pPr>
        <w:pStyle w:val="30"/>
        <w:numPr>
          <w:ilvl w:val="2"/>
          <w:numId w:val="12"/>
        </w:numPr>
        <w:spacing w:line="360" w:lineRule="auto"/>
        <w:ind w:left="415" w:leftChars="0" w:hanging="415" w:hangingChars="17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停车位的安排：先满足</w:t>
      </w:r>
      <w:r>
        <w:rPr>
          <w:rFonts w:hint="eastAsia" w:ascii="宋体" w:hAnsi="宋体" w:cs="宋体"/>
          <w:b w:val="0"/>
          <w:bCs w:val="0"/>
          <w:color w:val="auto"/>
          <w:sz w:val="24"/>
          <w:szCs w:val="24"/>
          <w:highlight w:val="none"/>
          <w:lang w:val="en-US" w:eastAsia="zh-CN"/>
        </w:rPr>
        <w:t>吉利竹甫村</w:t>
      </w:r>
      <w:r>
        <w:rPr>
          <w:rFonts w:hint="eastAsia" w:ascii="宋体" w:hAnsi="宋体" w:eastAsia="宋体" w:cs="宋体"/>
          <w:b w:val="0"/>
          <w:bCs w:val="0"/>
          <w:color w:val="auto"/>
          <w:sz w:val="24"/>
          <w:szCs w:val="24"/>
          <w:highlight w:val="none"/>
          <w:lang w:val="en-US" w:eastAsia="zh-CN"/>
        </w:rPr>
        <w:t>村民车辆停放，然后到村集体物业租户车辆停放，最后再安排其他外来车辆停放。村集体物业租户车辆、其他外来车辆均为临停车辆，中标人收取外来车辆停放场地占用费，</w:t>
      </w:r>
      <w:r>
        <w:rPr>
          <w:rFonts w:hint="eastAsia" w:ascii="宋体" w:hAnsi="宋体" w:cs="宋体"/>
          <w:b w:val="0"/>
          <w:bCs w:val="0"/>
          <w:color w:val="auto"/>
          <w:sz w:val="24"/>
          <w:szCs w:val="24"/>
          <w:highlight w:val="none"/>
          <w:lang w:val="en-US" w:eastAsia="zh-CN"/>
        </w:rPr>
        <w:t>其中</w:t>
      </w:r>
      <w:r>
        <w:rPr>
          <w:rFonts w:hint="eastAsia" w:ascii="宋体" w:hAnsi="宋体" w:cs="宋体"/>
          <w:color w:val="auto"/>
          <w:sz w:val="24"/>
          <w:highlight w:val="none"/>
          <w:lang w:val="en-US" w:eastAsia="zh-CN"/>
        </w:rPr>
        <w:t>属村集体物业世外陶源工作的车辆，在每日7时00分至19时00分免费停放，其他时段可收费；属村集体物业村口修车档，给予2辆车的名额全天免费停放；属村集体物业羽毛球馆的车辆停放在羽毛球馆的停车场可免费，但该车辆不得停放在外面，否则进行收费；村集体物业的经营单位的车辆信息经甲方确认后，乙方须无条件接受。</w:t>
      </w:r>
    </w:p>
    <w:p>
      <w:pPr>
        <w:pStyle w:val="30"/>
        <w:numPr>
          <w:ilvl w:val="2"/>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临时停车收费标准：</w:t>
      </w:r>
    </w:p>
    <w:p>
      <w:pPr>
        <w:pStyle w:val="30"/>
        <w:numPr>
          <w:ilvl w:val="-1"/>
          <w:numId w:val="0"/>
        </w:numPr>
        <w:spacing w:line="360" w:lineRule="auto"/>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小车类：</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小时内免费，</w:t>
      </w:r>
      <w:r>
        <w:rPr>
          <w:rFonts w:hint="default" w:ascii="宋体" w:hAnsi="宋体" w:cs="宋体"/>
          <w:color w:val="auto"/>
          <w:sz w:val="24"/>
          <w:highlight w:val="none"/>
          <w:lang w:val="en-US" w:eastAsia="zh-CN"/>
        </w:rPr>
        <w:t>超1小时后按5元计算，第二小时后每小时增3元（不足1小时的按1小时计算）</w:t>
      </w:r>
      <w:r>
        <w:rPr>
          <w:rFonts w:hint="eastAsia" w:ascii="宋体" w:hAnsi="宋体" w:eastAsia="宋体" w:cs="宋体"/>
          <w:color w:val="auto"/>
          <w:sz w:val="24"/>
          <w:szCs w:val="24"/>
          <w:highlight w:val="none"/>
          <w:lang w:val="en-US" w:eastAsia="zh-CN"/>
        </w:rPr>
        <w:t>）,每天24小时内最高限价20元，停放超过24小时以上按上述标准累加收费；车辆缴费后，需在15分钟内离场，超时则重新计时收费。</w:t>
      </w:r>
      <w:r>
        <w:rPr>
          <w:rFonts w:hint="eastAsia" w:ascii="宋体" w:hAnsi="宋体" w:cs="宋体"/>
          <w:color w:val="auto"/>
          <w:sz w:val="24"/>
          <w:highlight w:val="none"/>
          <w:lang w:val="en-US" w:eastAsia="zh-CN"/>
        </w:rPr>
        <w:t>（免费停车时长如有调整，以招标人书面通知为准）</w:t>
      </w:r>
    </w:p>
    <w:p>
      <w:pPr>
        <w:pStyle w:val="30"/>
        <w:numPr>
          <w:ilvl w:val="-1"/>
          <w:numId w:val="0"/>
        </w:numPr>
        <w:spacing w:line="360" w:lineRule="auto"/>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每辆车每天累计免费停车时长为</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小时。</w:t>
      </w:r>
    </w:p>
    <w:p>
      <w:pPr>
        <w:pStyle w:val="30"/>
        <w:numPr>
          <w:ilvl w:val="2"/>
          <w:numId w:val="12"/>
        </w:numPr>
        <w:spacing w:line="360" w:lineRule="auto"/>
        <w:ind w:left="-5"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月租类收费标准：符合以下条件的车辆可办理月卡（按季度收取），月租办理最多可办理一年，</w:t>
      </w:r>
      <w:r>
        <w:rPr>
          <w:rFonts w:hint="eastAsia" w:ascii="宋体" w:hAnsi="宋体" w:eastAsia="宋体" w:cs="宋体"/>
          <w:color w:val="auto"/>
          <w:sz w:val="24"/>
          <w:highlight w:val="none"/>
          <w:lang w:val="en-US" w:eastAsia="zh-CN"/>
        </w:rPr>
        <w:t>村内外来车辆可按以下方案享有以下优惠</w:t>
      </w:r>
      <w:r>
        <w:rPr>
          <w:rFonts w:hint="eastAsia" w:ascii="宋体" w:hAnsi="宋体" w:eastAsia="宋体" w:cs="宋体"/>
          <w:color w:val="auto"/>
          <w:sz w:val="24"/>
          <w:szCs w:val="24"/>
          <w:highlight w:val="none"/>
          <w:lang w:val="en-US" w:eastAsia="zh-CN"/>
        </w:rPr>
        <w:t>：小车：最高不超过1</w:t>
      </w:r>
      <w:r>
        <w:rPr>
          <w:rFonts w:hint="eastAsia" w:ascii="宋体" w:hAnsi="宋体" w:eastAsia="宋体" w:cs="宋体"/>
          <w:color w:val="auto"/>
          <w:sz w:val="24"/>
          <w:szCs w:val="24"/>
          <w:highlight w:val="none"/>
          <w:u w:val="none"/>
          <w:lang w:val="en-US" w:eastAsia="zh-CN"/>
        </w:rPr>
        <w:t>50</w:t>
      </w:r>
      <w:r>
        <w:rPr>
          <w:rFonts w:hint="eastAsia" w:ascii="宋体" w:hAnsi="宋体" w:eastAsia="宋体" w:cs="宋体"/>
          <w:color w:val="auto"/>
          <w:sz w:val="24"/>
          <w:szCs w:val="24"/>
          <w:highlight w:val="none"/>
          <w:lang w:val="en-US" w:eastAsia="zh-CN"/>
        </w:rPr>
        <w:t>元/月/辆（一次性缴纳的按1年优惠2个月）。车位优先满足吉利竹甫村村民需求。</w:t>
      </w:r>
    </w:p>
    <w:p>
      <w:pPr>
        <w:pStyle w:val="30"/>
        <w:widowControl/>
        <w:numPr>
          <w:ilvl w:val="-1"/>
          <w:numId w:val="0"/>
        </w:numPr>
        <w:spacing w:line="360" w:lineRule="auto"/>
        <w:ind w:left="-363" w:leftChars="-173" w:firstLine="720" w:firstLineChars="3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注：逾期未办月/卡的车辆系统自动按临时停车收费标准收费</w:t>
      </w:r>
    </w:p>
    <w:p>
      <w:pPr>
        <w:pStyle w:val="30"/>
        <w:numPr>
          <w:ilvl w:val="2"/>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重要节假日免收停车费，如春节（年二十八凌晨至正月初九凌晨）、清明节等节日免收费。</w:t>
      </w:r>
    </w:p>
    <w:p>
      <w:pPr>
        <w:pStyle w:val="30"/>
        <w:numPr>
          <w:ilvl w:val="2"/>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村重要传统节日</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村民生日、婚庆、弥月、丧事等亲友车辆需要在村内停放的，须在事项进行前向</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报备，报备后给予免费，并由车场管理处统一安排在临时停车位内停放。并由中标人提供二维码给办事村民专用，时间由村民所定，一般不超过一个星期，超期后二维码自动作废。</w:t>
      </w:r>
    </w:p>
    <w:p>
      <w:pPr>
        <w:pStyle w:val="30"/>
        <w:numPr>
          <w:ilvl w:val="2"/>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户籍村民或非</w:t>
      </w:r>
      <w:r>
        <w:rPr>
          <w:rFonts w:hint="eastAsia" w:ascii="宋体" w:hAnsi="宋体" w:cs="宋体"/>
          <w:color w:val="auto"/>
          <w:sz w:val="24"/>
          <w:szCs w:val="24"/>
          <w:highlight w:val="none"/>
          <w:lang w:val="en-US" w:eastAsia="zh-CN"/>
        </w:rPr>
        <w:t>吉利竹甫村</w:t>
      </w:r>
      <w:r>
        <w:rPr>
          <w:rFonts w:hint="eastAsia" w:ascii="宋体" w:hAnsi="宋体" w:eastAsia="宋体" w:cs="宋体"/>
          <w:color w:val="auto"/>
          <w:sz w:val="24"/>
          <w:szCs w:val="24"/>
          <w:highlight w:val="none"/>
          <w:lang w:val="en-US" w:eastAsia="zh-CN"/>
        </w:rPr>
        <w:t>户籍嫁入</w:t>
      </w:r>
      <w:r>
        <w:rPr>
          <w:rFonts w:hint="eastAsia" w:ascii="宋体" w:hAnsi="宋体" w:cs="宋体"/>
          <w:color w:val="auto"/>
          <w:sz w:val="24"/>
          <w:szCs w:val="24"/>
          <w:highlight w:val="none"/>
          <w:lang w:val="en-US" w:eastAsia="zh-CN"/>
        </w:rPr>
        <w:t>吉利竹甫村</w:t>
      </w:r>
      <w:r>
        <w:rPr>
          <w:rFonts w:hint="eastAsia" w:ascii="宋体" w:hAnsi="宋体" w:eastAsia="宋体" w:cs="宋体"/>
          <w:color w:val="auto"/>
          <w:sz w:val="24"/>
          <w:szCs w:val="24"/>
          <w:highlight w:val="none"/>
          <w:lang w:val="en-US" w:eastAsia="zh-CN"/>
        </w:rPr>
        <w:t>的村民驾驶非本人名下的车辆时，需提供相关证明材料由</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村干部和中标人核实后，可报备登记视为临时户籍车辆，若登记</w:t>
      </w:r>
      <w:r>
        <w:rPr>
          <w:rFonts w:hint="eastAsia" w:ascii="宋体" w:hAnsi="宋体" w:cs="宋体"/>
          <w:color w:val="auto"/>
          <w:sz w:val="24"/>
          <w:szCs w:val="24"/>
          <w:highlight w:val="none"/>
          <w:lang w:val="en-US" w:eastAsia="zh-CN"/>
        </w:rPr>
        <w:t>吉利竹甫村</w:t>
      </w:r>
      <w:r>
        <w:rPr>
          <w:rFonts w:hint="eastAsia" w:ascii="宋体" w:hAnsi="宋体" w:eastAsia="宋体" w:cs="宋体"/>
          <w:color w:val="auto"/>
          <w:sz w:val="24"/>
          <w:szCs w:val="24"/>
          <w:highlight w:val="none"/>
          <w:lang w:val="en-US" w:eastAsia="zh-CN"/>
        </w:rPr>
        <w:t>非户籍村民的车辆停放在户籍村民自家车库可免费，但该车辆不得在外面过夜，如每月有发现3次以上，则取消免费处理。</w:t>
      </w:r>
    </w:p>
    <w:p>
      <w:pPr>
        <w:pStyle w:val="30"/>
        <w:numPr>
          <w:ilvl w:val="2"/>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村民建房需要堆放建筑材料，按建房户数（一户）免费提供3至4个车位，如超过5个车位，则当外来车临停收费。</w:t>
      </w:r>
    </w:p>
    <w:p>
      <w:pPr>
        <w:pStyle w:val="30"/>
        <w:numPr>
          <w:ilvl w:val="2"/>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医院、银行、幼儿园、学校（校巴全天免费停放）吉利村委会和吉利市政等车辆0点—24点全天免费，政府工作人员来村里面办事，中标人提供一个二维码在村委会前台，让办事工作人员扫码后免费通行，村委会工作人员全天免费停车。</w:t>
      </w:r>
    </w:p>
    <w:p>
      <w:pPr>
        <w:pStyle w:val="30"/>
        <w:numPr>
          <w:ilvl w:val="2"/>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中标人负责投资安装各车道出入口智能车辆识别设备</w:t>
      </w:r>
      <w:r>
        <w:rPr>
          <w:rFonts w:hint="eastAsia" w:ascii="宋体" w:hAnsi="宋体" w:cs="宋体"/>
          <w:color w:val="auto"/>
          <w:sz w:val="24"/>
          <w:szCs w:val="24"/>
          <w:highlight w:val="none"/>
          <w:lang w:val="en-US" w:eastAsia="zh-CN"/>
        </w:rPr>
        <w:t>（按上述4.3设备和工程量清单）</w:t>
      </w:r>
      <w:r>
        <w:rPr>
          <w:rFonts w:hint="eastAsia" w:ascii="宋体" w:hAnsi="宋体" w:eastAsia="宋体" w:cs="宋体"/>
          <w:color w:val="auto"/>
          <w:sz w:val="24"/>
          <w:szCs w:val="24"/>
          <w:highlight w:val="none"/>
          <w:lang w:val="en-US" w:eastAsia="zh-CN"/>
        </w:rPr>
        <w:t>，各车道出入口必须加装1个以上监控设备，合同到期后，所有设备无偿归</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所有，中标人保证设备完好并无条件移交给</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w:t>
      </w:r>
    </w:p>
    <w:p>
      <w:pPr>
        <w:pStyle w:val="30"/>
        <w:numPr>
          <w:ilvl w:val="2"/>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中标人办理临时停车收费业务，每次办理的停车收费期限不能超过12个月，且收费期限不能超过本合同的服务期，若合同服务期满后，中标人还有多收取的停车费用，多出部分中标人必须退还给付款人后，</w:t>
      </w:r>
      <w:r>
        <w:rPr>
          <w:rFonts w:hint="eastAsia" w:ascii="宋体" w:hAnsi="宋体" w:cs="宋体"/>
          <w:color w:val="auto"/>
          <w:sz w:val="24"/>
          <w:szCs w:val="24"/>
          <w:highlight w:val="none"/>
          <w:lang w:val="en-US" w:eastAsia="zh-CN"/>
        </w:rPr>
        <w:t>招标人将本项目的履约保证金</w:t>
      </w:r>
      <w:r>
        <w:rPr>
          <w:rFonts w:hint="eastAsia" w:ascii="宋体" w:hAnsi="宋体" w:eastAsia="宋体" w:cs="宋体"/>
          <w:color w:val="auto"/>
          <w:sz w:val="24"/>
          <w:szCs w:val="24"/>
          <w:highlight w:val="none"/>
          <w:lang w:val="en-US" w:eastAsia="zh-CN"/>
        </w:rPr>
        <w:t>退给中标人。</w:t>
      </w:r>
    </w:p>
    <w:p>
      <w:pPr>
        <w:pStyle w:val="30"/>
        <w:numPr>
          <w:ilvl w:val="1"/>
          <w:numId w:val="12"/>
        </w:numPr>
        <w:spacing w:line="360" w:lineRule="auto"/>
        <w:ind w:left="417" w:leftChars="0" w:hanging="417" w:hangingChars="17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停车管理要求</w:t>
      </w:r>
    </w:p>
    <w:p>
      <w:pPr>
        <w:pStyle w:val="30"/>
        <w:numPr>
          <w:ilvl w:val="2"/>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禁止一切货车及有货箱的车辆停放（基建建设或临时施工除外），严禁装有易燃易爆等危险、化学物品的车辆进村及停放。</w:t>
      </w:r>
    </w:p>
    <w:p>
      <w:pPr>
        <w:pStyle w:val="30"/>
        <w:numPr>
          <w:ilvl w:val="2"/>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必须登记好</w:t>
      </w:r>
      <w:r>
        <w:rPr>
          <w:rFonts w:hint="eastAsia" w:ascii="宋体" w:hAnsi="宋体" w:cs="宋体"/>
          <w:color w:val="auto"/>
          <w:sz w:val="24"/>
          <w:szCs w:val="24"/>
          <w:highlight w:val="none"/>
          <w:lang w:eastAsia="zh-CN"/>
        </w:rPr>
        <w:t>吉利竹甫村</w:t>
      </w:r>
      <w:r>
        <w:rPr>
          <w:rFonts w:hint="eastAsia" w:ascii="宋体" w:hAnsi="宋体" w:eastAsia="宋体" w:cs="宋体"/>
          <w:color w:val="auto"/>
          <w:sz w:val="24"/>
          <w:szCs w:val="24"/>
          <w:highlight w:val="none"/>
        </w:rPr>
        <w:t>的车辆号牌，电话号码，停放地点，车位使用人，住址等，外地的车辆月租车也必须登记其号牌，电话号码等，而且必须停在按规定划好的车位上，外地月租车和临时车按划好的车位有序停放</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必须与停车位使用人签订车位承诺责任书，对停车实行规范化管理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巡逻人员24小时巡逻车场并确保各停车位正常使用，督促所有车辆正确使用行车线和停车位，维持停车秩序，保证各车道、车场出入周围道路畅通。文明管理车场，不得以任何理由或形式向车主或司机索取任何利益或报酬。文明礼貌，用语规范，文明服务。在经营管理中如发生纠纷，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自行处理。</w:t>
      </w:r>
    </w:p>
    <w:p>
      <w:pPr>
        <w:pStyle w:val="30"/>
        <w:numPr>
          <w:ilvl w:val="2"/>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进行车辆停放管理工作，中标人为保证村容村貌和交通顺畅，对于个别车辆不遵守“村区内停放规定”同时不服从工作人员协调，屡教不改乱停乱放的车辆，由中标人拉入黑名单处理（写保证书确保以后不发生同类情况的可以放行，超过3次不允许进入</w:t>
      </w:r>
      <w:r>
        <w:rPr>
          <w:rFonts w:hint="eastAsia" w:ascii="宋体" w:hAnsi="宋体" w:cs="宋体"/>
          <w:color w:val="auto"/>
          <w:sz w:val="24"/>
          <w:szCs w:val="24"/>
          <w:highlight w:val="none"/>
          <w:lang w:val="en-US" w:eastAsia="zh-CN"/>
        </w:rPr>
        <w:t>吉利竹甫村</w:t>
      </w:r>
      <w:r>
        <w:rPr>
          <w:rFonts w:hint="eastAsia" w:ascii="宋体" w:hAnsi="宋体" w:eastAsia="宋体" w:cs="宋体"/>
          <w:color w:val="auto"/>
          <w:sz w:val="24"/>
          <w:szCs w:val="24"/>
          <w:highlight w:val="none"/>
          <w:lang w:val="en-US" w:eastAsia="zh-CN"/>
        </w:rPr>
        <w:t>区内停车），如有必要村委治安队可协助中标人处理。</w:t>
      </w:r>
    </w:p>
    <w:p>
      <w:pPr>
        <w:pStyle w:val="30"/>
        <w:numPr>
          <w:ilvl w:val="2"/>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所有停放在消防通道的车辆进行拉入黑名单处理（写保证书确保以后不发生同类情况的可以放行，超过3次不允许进入</w:t>
      </w:r>
      <w:r>
        <w:rPr>
          <w:rFonts w:hint="eastAsia" w:ascii="宋体" w:hAnsi="宋体" w:cs="宋体"/>
          <w:color w:val="auto"/>
          <w:sz w:val="24"/>
          <w:szCs w:val="24"/>
          <w:highlight w:val="none"/>
          <w:lang w:val="en-US" w:eastAsia="zh-CN"/>
        </w:rPr>
        <w:t>吉利竹甫村</w:t>
      </w:r>
      <w:r>
        <w:rPr>
          <w:rFonts w:hint="eastAsia" w:ascii="宋体" w:hAnsi="宋体" w:eastAsia="宋体" w:cs="宋体"/>
          <w:color w:val="auto"/>
          <w:sz w:val="24"/>
          <w:szCs w:val="24"/>
          <w:highlight w:val="none"/>
          <w:lang w:val="en-US" w:eastAsia="zh-CN"/>
        </w:rPr>
        <w:t>区内停车）。</w:t>
      </w:r>
    </w:p>
    <w:p>
      <w:pPr>
        <w:pStyle w:val="30"/>
        <w:numPr>
          <w:ilvl w:val="2"/>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占用车位、消防通道、行车行人通道的乱摆卖问题处理方法：派放和张贴宣传单张进行不间断推广，不准占用位置乱摆卖，发现有此情况的，进行发放警告通知单，限定时间撤离现场。警告通知后拒绝撤离现场的，拉入黑名单或中标人通知执法相关部门协调进行处理。</w:t>
      </w:r>
    </w:p>
    <w:p>
      <w:pPr>
        <w:pStyle w:val="30"/>
        <w:numPr>
          <w:ilvl w:val="2"/>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规范停车常见的手段有：积分制度，优惠取消，黑名单制度。</w:t>
      </w:r>
    </w:p>
    <w:p>
      <w:pPr>
        <w:pStyle w:val="30"/>
        <w:numPr>
          <w:ilvl w:val="2"/>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系统需具备有智能巡检App，每次村内违停，巡检人员可以拍照上传到系统，前</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次可以告知和劝解，如果3次以上违规停车，取消车主对应的停车优惠。中标人在设置停车收费规则时，可以公示优惠后的价格，一旦违规按照原价收费。多次劝告无效的可以拉入黑名单，限制出入时间，优惠月票的购买等。</w:t>
      </w:r>
    </w:p>
    <w:p>
      <w:pPr>
        <w:pStyle w:val="30"/>
        <w:numPr>
          <w:ilvl w:val="0"/>
          <w:numId w:val="12"/>
        </w:numPr>
        <w:spacing w:line="360" w:lineRule="auto"/>
        <w:ind w:left="417" w:leftChars="0" w:hanging="417" w:hangingChars="173"/>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停车应急预案</w:t>
      </w:r>
    </w:p>
    <w:p>
      <w:pPr>
        <w:pStyle w:val="30"/>
        <w:numPr>
          <w:ilvl w:val="1"/>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救援</w:t>
      </w:r>
      <w:r>
        <w:rPr>
          <w:rFonts w:hint="eastAsia" w:ascii="宋体" w:hAnsi="宋体" w:cs="宋体"/>
          <w:b w:val="0"/>
          <w:bCs w:val="0"/>
          <w:color w:val="auto"/>
          <w:sz w:val="24"/>
          <w:szCs w:val="24"/>
          <w:highlight w:val="none"/>
          <w:lang w:val="en-US" w:eastAsia="zh-CN"/>
        </w:rPr>
        <w:t>车辆</w:t>
      </w:r>
      <w:r>
        <w:rPr>
          <w:rFonts w:hint="eastAsia" w:ascii="宋体" w:hAnsi="宋体" w:eastAsia="宋体" w:cs="宋体"/>
          <w:b w:val="0"/>
          <w:bCs w:val="0"/>
          <w:color w:val="auto"/>
          <w:sz w:val="24"/>
          <w:szCs w:val="24"/>
          <w:highlight w:val="none"/>
          <w:lang w:val="en-US" w:eastAsia="zh-CN"/>
        </w:rPr>
        <w:t>，提前远程开闸放行。警车，消防车等车辆默认设置自动放行。特殊情况，人为远程放</w:t>
      </w:r>
      <w:r>
        <w:rPr>
          <w:rFonts w:hint="eastAsia" w:ascii="宋体" w:hAnsi="宋体" w:eastAsia="宋体" w:cs="宋体"/>
          <w:color w:val="auto"/>
          <w:sz w:val="24"/>
          <w:szCs w:val="24"/>
          <w:highlight w:val="none"/>
          <w:lang w:val="en-US" w:eastAsia="zh-CN"/>
        </w:rPr>
        <w:t>行。</w:t>
      </w:r>
    </w:p>
    <w:p>
      <w:pPr>
        <w:pStyle w:val="30"/>
        <w:numPr>
          <w:ilvl w:val="1"/>
          <w:numId w:val="12"/>
        </w:numPr>
        <w:spacing w:line="360" w:lineRule="auto"/>
        <w:ind w:left="415" w:leftChars="0" w:hanging="415" w:hangingChars="17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停车系统可以接入消防联动信号，一旦有消防信号，所有停车闸杆自动抬杆。</w:t>
      </w:r>
    </w:p>
    <w:p>
      <w:pPr>
        <w:pStyle w:val="30"/>
        <w:numPr>
          <w:ilvl w:val="1"/>
          <w:numId w:val="12"/>
        </w:numPr>
        <w:spacing w:line="360" w:lineRule="auto"/>
        <w:ind w:left="415" w:leftChars="0" w:hanging="415" w:hangingChars="17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水灾，爆炸等异常情况发生时，24小时远程监控中心都会及时发现，巡检人员就近前往人工处理。保证道路畅行。</w:t>
      </w:r>
    </w:p>
    <w:p>
      <w:pPr>
        <w:pStyle w:val="30"/>
        <w:numPr>
          <w:ilvl w:val="0"/>
          <w:numId w:val="12"/>
        </w:numPr>
        <w:spacing w:line="360" w:lineRule="auto"/>
        <w:ind w:left="417" w:leftChars="0" w:hanging="417" w:hangingChars="17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考核标准和办法</w:t>
      </w:r>
    </w:p>
    <w:tbl>
      <w:tblPr>
        <w:tblStyle w:val="19"/>
        <w:tblW w:w="9389" w:type="dxa"/>
        <w:tblInd w:w="0" w:type="dxa"/>
        <w:shd w:val="clear" w:color="auto" w:fill="auto"/>
        <w:tblLayout w:type="fixed"/>
        <w:tblCellMar>
          <w:top w:w="0" w:type="dxa"/>
          <w:left w:w="10" w:type="dxa"/>
          <w:bottom w:w="0" w:type="dxa"/>
          <w:right w:w="10" w:type="dxa"/>
        </w:tblCellMar>
      </w:tblPr>
      <w:tblGrid>
        <w:gridCol w:w="643"/>
        <w:gridCol w:w="1373"/>
        <w:gridCol w:w="3437"/>
        <w:gridCol w:w="2715"/>
        <w:gridCol w:w="1221"/>
      </w:tblGrid>
      <w:tr>
        <w:tblPrEx>
          <w:shd w:val="clear" w:color="auto" w:fill="auto"/>
          <w:tblCellMar>
            <w:top w:w="0" w:type="dxa"/>
            <w:left w:w="10" w:type="dxa"/>
            <w:bottom w:w="0" w:type="dxa"/>
            <w:right w:w="10" w:type="dxa"/>
          </w:tblCellMar>
        </w:tblPrEx>
        <w:trPr>
          <w:trHeight w:val="562" w:hRule="exact"/>
        </w:trPr>
        <w:tc>
          <w:tcPr>
            <w:tcW w:w="20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rPr>
              <w:t>考核</w:t>
            </w:r>
            <w:r>
              <w:rPr>
                <w:rFonts w:hint="eastAsia" w:ascii="宋体" w:hAnsi="宋体" w:eastAsia="宋体" w:cs="宋体"/>
                <w:color w:val="auto"/>
                <w:spacing w:val="0"/>
                <w:w w:val="100"/>
                <w:position w:val="0"/>
                <w:sz w:val="24"/>
                <w:szCs w:val="24"/>
                <w:highlight w:val="none"/>
              </w:rPr>
              <w:t>项目</w:t>
            </w:r>
          </w:p>
        </w:tc>
        <w:tc>
          <w:tcPr>
            <w:tcW w:w="34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考核标准</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考核办法</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w w:val="100"/>
                <w:position w:val="0"/>
                <w:sz w:val="24"/>
                <w:szCs w:val="24"/>
                <w:highlight w:val="none"/>
              </w:rPr>
              <w:t>考核</w:t>
            </w:r>
            <w:r>
              <w:rPr>
                <w:rFonts w:hint="eastAsia" w:ascii="宋体" w:hAnsi="宋体" w:eastAsia="宋体" w:cs="宋体"/>
                <w:color w:val="auto"/>
                <w:spacing w:val="0"/>
                <w:w w:val="100"/>
                <w:position w:val="0"/>
                <w:sz w:val="24"/>
                <w:szCs w:val="24"/>
                <w:highlight w:val="none"/>
                <w:lang w:val="en-US" w:eastAsia="zh-CN"/>
              </w:rPr>
              <w:t>人员</w:t>
            </w:r>
          </w:p>
        </w:tc>
      </w:tr>
      <w:tr>
        <w:tblPrEx>
          <w:tblCellMar>
            <w:top w:w="0" w:type="dxa"/>
            <w:left w:w="10" w:type="dxa"/>
            <w:bottom w:w="0" w:type="dxa"/>
            <w:right w:w="10" w:type="dxa"/>
          </w:tblCellMar>
        </w:tblPrEx>
        <w:trPr>
          <w:trHeight w:val="1020" w:hRule="exact"/>
        </w:trPr>
        <w:tc>
          <w:tcPr>
            <w:tcW w:w="6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基础</w:t>
            </w:r>
          </w:p>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质量</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人员资质</w:t>
            </w:r>
          </w:p>
        </w:tc>
        <w:tc>
          <w:tcPr>
            <w:tcW w:w="3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从业人员要按时到岗、统一服装，</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文明礼貌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不符合要求的每项每人每次扣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12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招标人村两委干部及相关工作人员</w:t>
            </w:r>
          </w:p>
        </w:tc>
      </w:tr>
      <w:tr>
        <w:tblPrEx>
          <w:tblCellMar>
            <w:top w:w="0" w:type="dxa"/>
            <w:left w:w="10" w:type="dxa"/>
            <w:bottom w:w="0" w:type="dxa"/>
            <w:right w:w="10" w:type="dxa"/>
          </w:tblCellMar>
        </w:tblPrEx>
        <w:trPr>
          <w:trHeight w:val="1219"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3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从业人员熟练</w:t>
            </w:r>
            <w:r>
              <w:rPr>
                <w:rFonts w:hint="eastAsia" w:ascii="宋体" w:hAnsi="宋体" w:eastAsia="宋体" w:cs="宋体"/>
                <w:color w:val="auto"/>
                <w:sz w:val="24"/>
                <w:szCs w:val="24"/>
                <w:highlight w:val="none"/>
                <w:lang w:val="en-US" w:eastAsia="zh-CN"/>
              </w:rPr>
              <w:t>掌握业务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如村民群众对停车管理有疑问，</w:t>
            </w:r>
            <w:r>
              <w:rPr>
                <w:rFonts w:hint="eastAsia" w:ascii="宋体" w:hAnsi="宋体" w:eastAsia="宋体" w:cs="宋体"/>
                <w:color w:val="auto"/>
                <w:sz w:val="24"/>
                <w:szCs w:val="24"/>
                <w:highlight w:val="none"/>
              </w:rPr>
              <w:t>能够耐心细致解答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避免产生矛盾</w:t>
            </w:r>
            <w:r>
              <w:rPr>
                <w:rFonts w:hint="eastAsia" w:ascii="宋体" w:hAnsi="宋体" w:eastAsia="宋体" w:cs="宋体"/>
                <w:color w:val="auto"/>
                <w:sz w:val="24"/>
                <w:szCs w:val="24"/>
                <w:highlight w:val="none"/>
              </w:rPr>
              <w:t>。</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不符合要求的每人每次扣1分。</w:t>
            </w:r>
          </w:p>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12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643"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设备管理</w:t>
            </w:r>
          </w:p>
        </w:tc>
        <w:tc>
          <w:tcPr>
            <w:tcW w:w="343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定期</w:t>
            </w:r>
            <w:r>
              <w:rPr>
                <w:rFonts w:hint="eastAsia" w:ascii="宋体" w:hAnsi="宋体" w:eastAsia="宋体" w:cs="宋体"/>
                <w:color w:val="auto"/>
                <w:sz w:val="24"/>
                <w:szCs w:val="24"/>
                <w:highlight w:val="none"/>
              </w:rPr>
              <w:t>对设备运行情况进行检查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若设备产生故障，必须在24小时内完成维修</w:t>
            </w:r>
            <w:r>
              <w:rPr>
                <w:rFonts w:hint="eastAsia" w:ascii="宋体" w:hAnsi="宋体" w:eastAsia="宋体" w:cs="宋体"/>
                <w:color w:val="auto"/>
                <w:sz w:val="24"/>
                <w:szCs w:val="24"/>
                <w:highlight w:val="none"/>
              </w:rPr>
              <w:t>。</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val="en-US" w:eastAsia="zh-CN"/>
              </w:rPr>
              <w:t>因设备问题造成拥堵或其他影响的</w:t>
            </w:r>
            <w:r>
              <w:rPr>
                <w:rFonts w:hint="eastAsia" w:ascii="宋体" w:hAnsi="宋体" w:eastAsia="宋体" w:cs="宋体"/>
                <w:color w:val="auto"/>
                <w:sz w:val="24"/>
                <w:szCs w:val="24"/>
                <w:highlight w:val="none"/>
              </w:rPr>
              <w:t>，每次扣1分</w:t>
            </w:r>
          </w:p>
        </w:tc>
        <w:tc>
          <w:tcPr>
            <w:tcW w:w="12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571"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3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w:t>
            </w:r>
            <w:r>
              <w:rPr>
                <w:rFonts w:hint="eastAsia" w:ascii="宋体" w:hAnsi="宋体" w:eastAsia="宋体" w:cs="宋体"/>
                <w:color w:val="auto"/>
                <w:sz w:val="24"/>
                <w:szCs w:val="24"/>
                <w:highlight w:val="none"/>
                <w:lang w:val="en-US" w:eastAsia="zh-CN"/>
              </w:rPr>
              <w:t>及停车场</w:t>
            </w:r>
            <w:r>
              <w:rPr>
                <w:rFonts w:hint="eastAsia" w:ascii="宋体" w:hAnsi="宋体" w:eastAsia="宋体" w:cs="宋体"/>
                <w:color w:val="auto"/>
                <w:sz w:val="24"/>
                <w:szCs w:val="24"/>
                <w:highlight w:val="none"/>
              </w:rPr>
              <w:t>设施标识完好。</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缺失一处</w:t>
            </w:r>
            <w:r>
              <w:rPr>
                <w:rFonts w:hint="eastAsia"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en-US"/>
              </w:rPr>
              <w:t>0.5</w:t>
            </w:r>
            <w:r>
              <w:rPr>
                <w:rFonts w:hint="eastAsia" w:ascii="宋体" w:hAnsi="宋体" w:eastAsia="宋体" w:cs="宋体"/>
                <w:color w:val="auto"/>
                <w:sz w:val="24"/>
                <w:szCs w:val="24"/>
                <w:highlight w:val="none"/>
              </w:rPr>
              <w:t>分。</w:t>
            </w:r>
          </w:p>
        </w:tc>
        <w:tc>
          <w:tcPr>
            <w:tcW w:w="12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950"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案作规程</w:t>
            </w:r>
          </w:p>
        </w:tc>
        <w:tc>
          <w:tcPr>
            <w:tcW w:w="3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在车辆管理中不得扣押车辆停放者证件</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财物</w:t>
            </w:r>
            <w:r>
              <w:rPr>
                <w:rFonts w:hint="eastAsia" w:ascii="宋体" w:hAnsi="宋体" w:eastAsia="宋体" w:cs="宋体"/>
                <w:color w:val="auto"/>
                <w:sz w:val="24"/>
                <w:szCs w:val="24"/>
                <w:highlight w:val="none"/>
                <w:lang w:val="en-US" w:eastAsia="zh-CN"/>
              </w:rPr>
              <w:t>等私人物品</w:t>
            </w:r>
            <w:r>
              <w:rPr>
                <w:rFonts w:hint="eastAsia" w:ascii="宋体" w:hAnsi="宋体" w:eastAsia="宋体" w:cs="宋体"/>
                <w:color w:val="auto"/>
                <w:sz w:val="24"/>
                <w:szCs w:val="24"/>
                <w:highlight w:val="none"/>
              </w:rPr>
              <w:t>。</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发生</w:t>
            </w:r>
            <w:r>
              <w:rPr>
                <w:rFonts w:hint="eastAsia" w:ascii="宋体" w:hAnsi="宋体" w:eastAsia="宋体" w:cs="宋体"/>
                <w:color w:val="auto"/>
                <w:sz w:val="24"/>
                <w:szCs w:val="24"/>
                <w:highlight w:val="none"/>
              </w:rPr>
              <w:t>一次扣2分。</w:t>
            </w:r>
          </w:p>
        </w:tc>
        <w:tc>
          <w:tcPr>
            <w:tcW w:w="12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653"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343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按与招标人约定收费标准对停放车辆进行收费及开具有效发票。</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违反</w:t>
            </w:r>
            <w:r>
              <w:rPr>
                <w:rFonts w:hint="eastAsia" w:ascii="宋体" w:hAnsi="宋体" w:eastAsia="宋体" w:cs="宋体"/>
                <w:color w:val="auto"/>
                <w:sz w:val="24"/>
                <w:szCs w:val="24"/>
                <w:highlight w:val="none"/>
              </w:rPr>
              <w:t>一次扣2分。</w:t>
            </w:r>
          </w:p>
        </w:tc>
        <w:tc>
          <w:tcPr>
            <w:tcW w:w="12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1667"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3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在停车场</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发生汽车车损</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事故</w:t>
            </w:r>
            <w:r>
              <w:rPr>
                <w:rFonts w:hint="eastAsia" w:ascii="宋体" w:hAnsi="宋体" w:eastAsia="宋体" w:cs="宋体"/>
                <w:color w:val="auto"/>
                <w:sz w:val="24"/>
                <w:szCs w:val="24"/>
                <w:highlight w:val="none"/>
                <w:lang w:val="en-US" w:eastAsia="zh-CN"/>
              </w:rPr>
              <w:t>等时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需主动</w:t>
            </w:r>
            <w:r>
              <w:rPr>
                <w:rFonts w:hint="eastAsia" w:ascii="宋体" w:hAnsi="宋体" w:eastAsia="宋体" w:cs="宋体"/>
                <w:color w:val="auto"/>
                <w:sz w:val="24"/>
                <w:szCs w:val="24"/>
                <w:highlight w:val="none"/>
              </w:rPr>
              <w:t>报警处</w:t>
            </w:r>
            <w:r>
              <w:rPr>
                <w:rFonts w:hint="eastAsia" w:ascii="宋体" w:hAnsi="宋体" w:eastAsia="宋体" w:cs="宋体"/>
                <w:color w:val="auto"/>
                <w:sz w:val="24"/>
                <w:szCs w:val="24"/>
                <w:highlight w:val="none"/>
                <w:lang w:val="en-US" w:eastAsia="zh-CN"/>
              </w:rPr>
              <w:t>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val="en-US" w:eastAsia="zh-CN"/>
              </w:rPr>
              <w:t>事故造成车辆</w:t>
            </w:r>
            <w:r>
              <w:rPr>
                <w:rFonts w:hint="eastAsia" w:ascii="宋体" w:hAnsi="宋体" w:eastAsia="宋体" w:cs="宋体"/>
                <w:color w:val="auto"/>
                <w:sz w:val="24"/>
                <w:szCs w:val="24"/>
                <w:highlight w:val="none"/>
              </w:rPr>
              <w:t>拥堵的，必须及时协调处理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分钟内</w:t>
            </w:r>
            <w:r>
              <w:rPr>
                <w:rFonts w:hint="eastAsia" w:ascii="宋体" w:hAnsi="宋体" w:eastAsia="宋体" w:cs="宋体"/>
                <w:color w:val="auto"/>
                <w:sz w:val="24"/>
                <w:szCs w:val="24"/>
                <w:highlight w:val="none"/>
                <w:lang w:val="en-US" w:eastAsia="zh-CN"/>
              </w:rPr>
              <w:t>完成</w:t>
            </w:r>
            <w:r>
              <w:rPr>
                <w:rFonts w:hint="eastAsia" w:ascii="宋体" w:hAnsi="宋体" w:eastAsia="宋体" w:cs="宋体"/>
                <w:color w:val="auto"/>
                <w:sz w:val="24"/>
                <w:szCs w:val="24"/>
                <w:highlight w:val="none"/>
              </w:rPr>
              <w:t>疏通。</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违反一次</w:t>
            </w:r>
            <w:r>
              <w:rPr>
                <w:rFonts w:hint="eastAsia"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12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931"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3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要切实履行防火安全、门前三包、</w:t>
            </w:r>
            <w:r>
              <w:rPr>
                <w:rFonts w:hint="eastAsia" w:ascii="宋体" w:hAnsi="宋体" w:eastAsia="宋体" w:cs="宋体"/>
                <w:color w:val="auto"/>
                <w:sz w:val="24"/>
                <w:szCs w:val="24"/>
                <w:highlight w:val="none"/>
                <w:lang w:val="en-US" w:eastAsia="zh-CN"/>
              </w:rPr>
              <w:t>治安安全等</w:t>
            </w:r>
            <w:r>
              <w:rPr>
                <w:rFonts w:hint="eastAsia" w:ascii="宋体" w:hAnsi="宋体" w:eastAsia="宋体" w:cs="宋体"/>
                <w:color w:val="auto"/>
                <w:sz w:val="24"/>
                <w:szCs w:val="24"/>
                <w:highlight w:val="none"/>
              </w:rPr>
              <w:t>义务。</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产生问题一次</w:t>
            </w:r>
            <w:r>
              <w:rPr>
                <w:rFonts w:hint="eastAsia" w:ascii="宋体" w:hAnsi="宋体" w:eastAsia="宋体" w:cs="宋体"/>
                <w:color w:val="auto"/>
                <w:sz w:val="24"/>
                <w:szCs w:val="24"/>
                <w:highlight w:val="none"/>
              </w:rPr>
              <w:t>扣1分。</w:t>
            </w:r>
          </w:p>
        </w:tc>
        <w:tc>
          <w:tcPr>
            <w:tcW w:w="12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643" w:hRule="exact"/>
        </w:trPr>
        <w:tc>
          <w:tcPr>
            <w:tcW w:w="6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单项</w:t>
            </w:r>
          </w:p>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考核</w:t>
            </w:r>
          </w:p>
        </w:tc>
        <w:tc>
          <w:tcPr>
            <w:tcW w:w="4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若因服</w:t>
            </w:r>
            <w:r>
              <w:rPr>
                <w:rFonts w:hint="eastAsia" w:ascii="宋体" w:hAnsi="宋体" w:eastAsia="宋体" w:cs="宋体"/>
                <w:color w:val="auto"/>
                <w:sz w:val="24"/>
                <w:szCs w:val="24"/>
                <w:highlight w:val="none"/>
              </w:rPr>
              <w:t>务</w:t>
            </w:r>
            <w:r>
              <w:rPr>
                <w:rFonts w:hint="eastAsia" w:ascii="宋体" w:hAnsi="宋体" w:eastAsia="宋体" w:cs="宋体"/>
                <w:color w:val="auto"/>
                <w:sz w:val="24"/>
                <w:szCs w:val="24"/>
                <w:highlight w:val="none"/>
                <w:lang w:val="en-US" w:eastAsia="zh-CN"/>
              </w:rPr>
              <w:t>问题产生</w:t>
            </w:r>
            <w:r>
              <w:rPr>
                <w:rFonts w:hint="eastAsia" w:ascii="宋体" w:hAnsi="宋体" w:eastAsia="宋体" w:cs="宋体"/>
                <w:color w:val="auto"/>
                <w:sz w:val="24"/>
                <w:szCs w:val="24"/>
                <w:highlight w:val="none"/>
              </w:rPr>
              <w:t>投诉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且经核实为有效投诉的</w:t>
            </w:r>
            <w:r>
              <w:rPr>
                <w:rFonts w:hint="eastAsia" w:ascii="宋体" w:hAnsi="宋体" w:eastAsia="宋体" w:cs="宋体"/>
                <w:color w:val="auto"/>
                <w:sz w:val="24"/>
                <w:szCs w:val="24"/>
                <w:highlight w:val="none"/>
              </w:rPr>
              <w:t>。</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每</w:t>
            </w:r>
            <w:r>
              <w:rPr>
                <w:rFonts w:hint="eastAsia" w:ascii="宋体" w:hAnsi="宋体" w:eastAsia="宋体" w:cs="宋体"/>
                <w:color w:val="auto"/>
                <w:sz w:val="24"/>
                <w:szCs w:val="24"/>
                <w:highlight w:val="none"/>
              </w:rPr>
              <w:t>次扣3分。</w:t>
            </w:r>
          </w:p>
        </w:tc>
        <w:tc>
          <w:tcPr>
            <w:tcW w:w="12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1412"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4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必须具备进行停车场管理运营及收费的资质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且办理相关许可证及备案手续，</w:t>
            </w:r>
            <w:r>
              <w:rPr>
                <w:rFonts w:hint="eastAsia" w:ascii="宋体" w:hAnsi="宋体" w:eastAsia="宋体" w:cs="宋体"/>
                <w:color w:val="auto"/>
                <w:sz w:val="24"/>
                <w:szCs w:val="24"/>
                <w:highlight w:val="none"/>
              </w:rPr>
              <w:t>按税收管理制度</w:t>
            </w:r>
            <w:r>
              <w:rPr>
                <w:rFonts w:hint="eastAsia" w:ascii="宋体" w:hAnsi="宋体" w:eastAsia="宋体" w:cs="宋体"/>
                <w:color w:val="auto"/>
                <w:sz w:val="24"/>
                <w:szCs w:val="24"/>
                <w:highlight w:val="none"/>
                <w:lang w:val="en-US" w:eastAsia="zh-CN"/>
              </w:rPr>
              <w:t>开具</w:t>
            </w:r>
            <w:r>
              <w:rPr>
                <w:rFonts w:hint="eastAsia" w:ascii="宋体" w:hAnsi="宋体" w:eastAsia="宋体" w:cs="宋体"/>
                <w:color w:val="auto"/>
                <w:sz w:val="24"/>
                <w:szCs w:val="24"/>
                <w:highlight w:val="none"/>
              </w:rPr>
              <w:t>发票。不得使用假票和涂改及与单位不相符的票</w:t>
            </w:r>
            <w:r>
              <w:rPr>
                <w:rFonts w:hint="eastAsia" w:ascii="宋体" w:hAnsi="宋体" w:eastAsia="宋体" w:cs="宋体"/>
                <w:color w:val="auto"/>
                <w:sz w:val="24"/>
                <w:szCs w:val="24"/>
                <w:highlight w:val="none"/>
                <w:lang w:val="en-US" w:eastAsia="zh-CN"/>
              </w:rPr>
              <w:t>证</w:t>
            </w:r>
            <w:r>
              <w:rPr>
                <w:rFonts w:hint="eastAsia" w:ascii="宋体" w:hAnsi="宋体" w:eastAsia="宋体" w:cs="宋体"/>
                <w:color w:val="auto"/>
                <w:sz w:val="24"/>
                <w:szCs w:val="24"/>
                <w:highlight w:val="none"/>
              </w:rPr>
              <w:t>，不得伪造有关证照和票据。</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发生</w:t>
            </w:r>
            <w:r>
              <w:rPr>
                <w:rFonts w:hint="eastAsia" w:ascii="宋体" w:hAnsi="宋体" w:eastAsia="宋体" w:cs="宋体"/>
                <w:color w:val="auto"/>
                <w:sz w:val="24"/>
                <w:szCs w:val="24"/>
                <w:highlight w:val="none"/>
              </w:rPr>
              <w:t>一次扣3分。</w:t>
            </w:r>
          </w:p>
        </w:tc>
        <w:tc>
          <w:tcPr>
            <w:tcW w:w="1221"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653"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481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因设备或管理原因</w:t>
            </w:r>
            <w:r>
              <w:rPr>
                <w:rFonts w:hint="eastAsia" w:ascii="宋体" w:hAnsi="宋体" w:eastAsia="宋体" w:cs="宋体"/>
                <w:color w:val="auto"/>
                <w:sz w:val="24"/>
                <w:szCs w:val="24"/>
                <w:highlight w:val="none"/>
              </w:rPr>
              <w:t>导致</w:t>
            </w:r>
            <w:r>
              <w:rPr>
                <w:rFonts w:hint="eastAsia" w:ascii="宋体" w:hAnsi="宋体" w:eastAsia="宋体" w:cs="宋体"/>
                <w:color w:val="auto"/>
                <w:sz w:val="24"/>
                <w:szCs w:val="24"/>
                <w:highlight w:val="none"/>
                <w:lang w:val="en-US" w:eastAsia="zh-CN"/>
              </w:rPr>
              <w:t>停放</w:t>
            </w:r>
            <w:r>
              <w:rPr>
                <w:rFonts w:hint="eastAsia" w:ascii="宋体" w:hAnsi="宋体" w:eastAsia="宋体" w:cs="宋体"/>
                <w:color w:val="auto"/>
                <w:sz w:val="24"/>
                <w:szCs w:val="24"/>
                <w:highlight w:val="none"/>
              </w:rPr>
              <w:t>车辆损坏</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5分钟内</w:t>
            </w:r>
            <w:r>
              <w:rPr>
                <w:rFonts w:hint="eastAsia" w:ascii="宋体" w:hAnsi="宋体" w:eastAsia="宋体" w:cs="宋体"/>
                <w:color w:val="auto"/>
                <w:sz w:val="24"/>
                <w:szCs w:val="24"/>
                <w:highlight w:val="none"/>
                <w:lang w:val="en-US" w:eastAsia="zh-CN"/>
              </w:rPr>
              <w:t>到场</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val="en-US" w:eastAsia="zh-CN"/>
              </w:rPr>
              <w:t>化</w:t>
            </w:r>
            <w:r>
              <w:rPr>
                <w:rFonts w:hint="eastAsia" w:ascii="宋体" w:hAnsi="宋体" w:eastAsia="宋体" w:cs="宋体"/>
                <w:color w:val="auto"/>
                <w:sz w:val="24"/>
                <w:szCs w:val="24"/>
                <w:highlight w:val="none"/>
              </w:rPr>
              <w:t>解。</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违反</w:t>
            </w:r>
            <w:r>
              <w:rPr>
                <w:rFonts w:hint="eastAsia" w:ascii="宋体" w:hAnsi="宋体" w:eastAsia="宋体" w:cs="宋体"/>
                <w:color w:val="auto"/>
                <w:sz w:val="24"/>
                <w:szCs w:val="24"/>
                <w:highlight w:val="none"/>
              </w:rPr>
              <w:t>一次1分。</w:t>
            </w:r>
          </w:p>
        </w:tc>
        <w:tc>
          <w:tcPr>
            <w:tcW w:w="1221"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1375"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4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若有建</w:t>
            </w:r>
            <w:r>
              <w:rPr>
                <w:rFonts w:hint="eastAsia" w:ascii="宋体" w:hAnsi="宋体" w:eastAsia="宋体" w:cs="宋体"/>
                <w:color w:val="auto"/>
                <w:sz w:val="24"/>
                <w:szCs w:val="24"/>
                <w:highlight w:val="none"/>
              </w:rPr>
              <w:t>筑</w:t>
            </w:r>
            <w:r>
              <w:rPr>
                <w:rFonts w:hint="eastAsia" w:ascii="宋体" w:hAnsi="宋体" w:eastAsia="宋体" w:cs="宋体"/>
                <w:color w:val="auto"/>
                <w:sz w:val="24"/>
                <w:szCs w:val="24"/>
                <w:highlight w:val="none"/>
                <w:lang w:val="en-US" w:eastAsia="zh-CN"/>
              </w:rPr>
              <w:t>杂物</w:t>
            </w:r>
            <w:r>
              <w:rPr>
                <w:rFonts w:hint="eastAsia" w:ascii="宋体" w:hAnsi="宋体" w:eastAsia="宋体" w:cs="宋体"/>
                <w:color w:val="auto"/>
                <w:sz w:val="24"/>
                <w:szCs w:val="24"/>
                <w:highlight w:val="none"/>
              </w:rPr>
              <w:t>、乱摆卖摊</w:t>
            </w:r>
            <w:r>
              <w:rPr>
                <w:rFonts w:hint="eastAsia" w:ascii="宋体" w:hAnsi="宋体" w:eastAsia="宋体" w:cs="宋体"/>
                <w:color w:val="auto"/>
                <w:sz w:val="24"/>
                <w:szCs w:val="24"/>
                <w:highlight w:val="none"/>
                <w:lang w:val="en-US" w:eastAsia="zh-CN"/>
              </w:rPr>
              <w:t>档等占用</w:t>
            </w:r>
            <w:r>
              <w:rPr>
                <w:rFonts w:hint="eastAsia" w:ascii="宋体" w:hAnsi="宋体" w:eastAsia="宋体" w:cs="宋体"/>
                <w:color w:val="auto"/>
                <w:sz w:val="24"/>
                <w:szCs w:val="24"/>
                <w:highlight w:val="none"/>
              </w:rPr>
              <w:t>停车位、消防通道、行车通道</w:t>
            </w:r>
            <w:r>
              <w:rPr>
                <w:rFonts w:hint="eastAsia" w:ascii="宋体" w:hAnsi="宋体" w:eastAsia="宋体" w:cs="宋体"/>
                <w:color w:val="auto"/>
                <w:sz w:val="24"/>
                <w:szCs w:val="24"/>
                <w:highlight w:val="none"/>
                <w:lang w:val="en-US" w:eastAsia="zh-CN"/>
              </w:rPr>
              <w:t>等情况的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需5分钟内到场处理；</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3次以上</w:t>
            </w:r>
            <w:r>
              <w:rPr>
                <w:rFonts w:hint="eastAsia" w:ascii="宋体" w:hAnsi="宋体" w:eastAsia="宋体" w:cs="宋体"/>
                <w:color w:val="auto"/>
                <w:sz w:val="24"/>
                <w:szCs w:val="24"/>
                <w:highlight w:val="none"/>
              </w:rPr>
              <w:t>占用</w:t>
            </w:r>
            <w:r>
              <w:rPr>
                <w:rFonts w:hint="eastAsia" w:ascii="宋体" w:hAnsi="宋体" w:eastAsia="宋体" w:cs="宋体"/>
                <w:color w:val="auto"/>
                <w:sz w:val="24"/>
                <w:szCs w:val="24"/>
                <w:highlight w:val="none"/>
                <w:lang w:val="en-US" w:eastAsia="zh-CN"/>
              </w:rPr>
              <w:t>行车通道</w:t>
            </w:r>
            <w:r>
              <w:rPr>
                <w:rFonts w:hint="eastAsia" w:ascii="宋体" w:hAnsi="宋体" w:eastAsia="宋体" w:cs="宋体"/>
                <w:color w:val="auto"/>
                <w:sz w:val="24"/>
                <w:szCs w:val="24"/>
                <w:highlight w:val="none"/>
              </w:rPr>
              <w:t>、消防通道</w:t>
            </w:r>
            <w:r>
              <w:rPr>
                <w:rFonts w:hint="eastAsia" w:ascii="宋体" w:hAnsi="宋体" w:eastAsia="宋体" w:cs="宋体"/>
                <w:color w:val="auto"/>
                <w:sz w:val="24"/>
                <w:szCs w:val="24"/>
                <w:highlight w:val="none"/>
                <w:lang w:val="en-US" w:eastAsia="zh-CN"/>
              </w:rPr>
              <w:t>等的车辆</w:t>
            </w:r>
            <w:r>
              <w:rPr>
                <w:rFonts w:hint="eastAsia" w:ascii="宋体" w:hAnsi="宋体" w:eastAsia="宋体" w:cs="宋体"/>
                <w:color w:val="auto"/>
                <w:sz w:val="24"/>
                <w:szCs w:val="24"/>
                <w:highlight w:val="none"/>
              </w:rPr>
              <w:t>给予</w:t>
            </w:r>
            <w:r>
              <w:rPr>
                <w:rFonts w:hint="eastAsia" w:ascii="宋体" w:hAnsi="宋体" w:eastAsia="宋体" w:cs="宋体"/>
                <w:color w:val="auto"/>
                <w:sz w:val="24"/>
                <w:szCs w:val="24"/>
                <w:highlight w:val="none"/>
                <w:lang w:val="en-US" w:eastAsia="zh-CN"/>
              </w:rPr>
              <w:t>处理，</w:t>
            </w:r>
            <w:r>
              <w:rPr>
                <w:rFonts w:hint="eastAsia" w:ascii="宋体" w:hAnsi="宋体" w:eastAsia="宋体" w:cs="宋体"/>
                <w:color w:val="auto"/>
                <w:sz w:val="24"/>
                <w:szCs w:val="24"/>
                <w:highlight w:val="none"/>
              </w:rPr>
              <w:t>禁止</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rPr>
              <w:t>车辆进入村内。</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未按要求处理</w:t>
            </w:r>
            <w:r>
              <w:rPr>
                <w:rFonts w:hint="eastAsia" w:ascii="宋体" w:hAnsi="宋体" w:eastAsia="宋体" w:cs="宋体"/>
                <w:color w:val="auto"/>
                <w:sz w:val="24"/>
                <w:szCs w:val="24"/>
                <w:highlight w:val="none"/>
              </w:rPr>
              <w:t>一次</w:t>
            </w:r>
            <w:r>
              <w:rPr>
                <w:rFonts w:hint="eastAsia" w:ascii="宋体" w:hAnsi="宋体" w:eastAsia="宋体" w:cs="宋体"/>
                <w:color w:val="auto"/>
                <w:sz w:val="24"/>
                <w:szCs w:val="24"/>
                <w:highlight w:val="none"/>
                <w:lang w:val="en-US" w:eastAsia="zh-CN"/>
              </w:rPr>
              <w:t>扣</w:t>
            </w:r>
            <w:r>
              <w:rPr>
                <w:rFonts w:hint="eastAsia" w:ascii="宋体" w:hAnsi="宋体" w:eastAsia="宋体" w:cs="宋体"/>
                <w:color w:val="auto"/>
                <w:sz w:val="24"/>
                <w:szCs w:val="24"/>
                <w:highlight w:val="none"/>
              </w:rPr>
              <w:t>1分</w:t>
            </w:r>
          </w:p>
        </w:tc>
        <w:tc>
          <w:tcPr>
            <w:tcW w:w="1221" w:type="dxa"/>
            <w:vMerge w:val="continue"/>
            <w:tcBorders>
              <w:left w:val="single" w:color="auto" w:sz="4" w:space="0"/>
              <w:bottom w:val="single" w:color="auto" w:sz="4" w:space="0"/>
              <w:right w:val="single" w:color="auto" w:sz="4" w:space="0"/>
            </w:tcBorders>
            <w:shd w:val="clear" w:color="auto" w:fill="auto"/>
            <w:vAlign w:val="top"/>
          </w:tcPr>
          <w:p>
            <w:pPr>
              <w:widowControl w:val="0"/>
              <w:rPr>
                <w:rFonts w:hint="eastAsia" w:ascii="宋体" w:hAnsi="宋体" w:eastAsia="宋体" w:cs="宋体"/>
                <w:color w:val="auto"/>
                <w:sz w:val="24"/>
                <w:szCs w:val="24"/>
                <w:highlight w:val="none"/>
              </w:rPr>
            </w:pPr>
          </w:p>
        </w:tc>
      </w:tr>
    </w:tbl>
    <w:p>
      <w:pPr>
        <w:pStyle w:val="30"/>
        <w:numPr>
          <w:ilvl w:val="0"/>
          <w:numId w:val="0"/>
        </w:numPr>
        <w:spacing w:line="360" w:lineRule="auto"/>
        <w:ind w:left="415" w:leftChars="0" w:hanging="415" w:hangingChars="1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color w:val="auto"/>
          <w:sz w:val="24"/>
          <w:szCs w:val="24"/>
          <w:highlight w:val="none"/>
        </w:rPr>
        <w:t>每季度考核一次，考核总分为100分，具体考核制度</w:t>
      </w:r>
      <w:r>
        <w:rPr>
          <w:rFonts w:hint="eastAsia" w:ascii="宋体" w:hAnsi="宋体" w:eastAsia="宋体" w:cs="宋体"/>
          <w:color w:val="auto"/>
          <w:sz w:val="24"/>
          <w:szCs w:val="24"/>
          <w:highlight w:val="none"/>
          <w:lang w:val="en-US" w:eastAsia="zh-CN"/>
        </w:rPr>
        <w:t>和</w:t>
      </w:r>
      <w:r>
        <w:rPr>
          <w:rFonts w:hint="eastAsia" w:ascii="宋体" w:hAnsi="宋体" w:eastAsia="宋体" w:cs="宋体"/>
          <w:b/>
          <w:bCs/>
          <w:color w:val="auto"/>
          <w:sz w:val="24"/>
          <w:szCs w:val="24"/>
          <w:highlight w:val="none"/>
          <w:lang w:val="en-US" w:eastAsia="zh-CN"/>
        </w:rPr>
        <w:t>监管惩罚金额</w:t>
      </w:r>
      <w:r>
        <w:rPr>
          <w:rFonts w:hint="eastAsia" w:ascii="宋体" w:hAnsi="宋体" w:eastAsia="宋体" w:cs="宋体"/>
          <w:color w:val="auto"/>
          <w:sz w:val="24"/>
          <w:szCs w:val="24"/>
          <w:highlight w:val="none"/>
        </w:rPr>
        <w:t>如下:</w:t>
      </w:r>
    </w:p>
    <w:p>
      <w:pPr>
        <w:pStyle w:val="30"/>
        <w:numPr>
          <w:ilvl w:val="1"/>
          <w:numId w:val="12"/>
        </w:numPr>
        <w:spacing w:line="360" w:lineRule="auto"/>
        <w:ind w:left="415" w:leftChars="0" w:hanging="415" w:hangingChars="1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若合同签订之日起半年内出现一次考核得分低于80分的为不达标，招标人可以单方解除本合同，并</w:t>
      </w:r>
      <w:r>
        <w:rPr>
          <w:rFonts w:hint="eastAsia" w:ascii="宋体" w:hAnsi="宋体" w:cs="宋体"/>
          <w:color w:val="auto"/>
          <w:sz w:val="24"/>
          <w:szCs w:val="24"/>
          <w:highlight w:val="none"/>
          <w:lang w:eastAsia="zh-CN"/>
        </w:rPr>
        <w:t>不予退还中标人履约保证金</w:t>
      </w:r>
      <w:r>
        <w:rPr>
          <w:rFonts w:hint="eastAsia" w:ascii="宋体" w:hAnsi="宋体" w:eastAsia="宋体" w:cs="宋体"/>
          <w:color w:val="auto"/>
          <w:sz w:val="24"/>
          <w:szCs w:val="24"/>
          <w:highlight w:val="none"/>
        </w:rPr>
        <w:t>和不退回已交的服务费，且中标人投入建设安装的一切设施设备无偿归招标人所有。</w:t>
      </w:r>
    </w:p>
    <w:p>
      <w:pPr>
        <w:pStyle w:val="30"/>
        <w:numPr>
          <w:ilvl w:val="1"/>
          <w:numId w:val="12"/>
        </w:numPr>
        <w:spacing w:line="360" w:lineRule="auto"/>
        <w:ind w:left="415" w:leftChars="0" w:hanging="415" w:hangingChars="1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若当年有2个或以上季度考核得分低于80分，</w:t>
      </w:r>
      <w:r>
        <w:rPr>
          <w:rFonts w:hint="eastAsia" w:ascii="宋体" w:hAnsi="宋体" w:cs="宋体"/>
          <w:color w:val="auto"/>
          <w:sz w:val="24"/>
          <w:szCs w:val="24"/>
          <w:highlight w:val="none"/>
          <w:lang w:eastAsia="zh-CN"/>
        </w:rPr>
        <w:t>招</w:t>
      </w:r>
      <w:r>
        <w:rPr>
          <w:rFonts w:hint="eastAsia" w:ascii="宋体" w:hAnsi="宋体" w:eastAsia="宋体" w:cs="宋体"/>
          <w:color w:val="auto"/>
          <w:sz w:val="24"/>
          <w:szCs w:val="24"/>
          <w:highlight w:val="none"/>
        </w:rPr>
        <w:t>标人可以单方解除本合同，并</w:t>
      </w:r>
      <w:r>
        <w:rPr>
          <w:rFonts w:hint="eastAsia" w:ascii="宋体" w:hAnsi="宋体" w:cs="宋体"/>
          <w:color w:val="auto"/>
          <w:sz w:val="24"/>
          <w:szCs w:val="24"/>
          <w:highlight w:val="none"/>
          <w:lang w:eastAsia="zh-CN"/>
        </w:rPr>
        <w:t>不予退还中标人履约保证金</w:t>
      </w:r>
      <w:r>
        <w:rPr>
          <w:rFonts w:hint="eastAsia" w:ascii="宋体" w:hAnsi="宋体" w:eastAsia="宋体" w:cs="宋体"/>
          <w:color w:val="auto"/>
          <w:sz w:val="24"/>
          <w:szCs w:val="24"/>
          <w:highlight w:val="none"/>
        </w:rPr>
        <w:t>和不退回已交的服务费，且中标人投入建设安装的一切设施设备无偿归招标人所有。</w:t>
      </w:r>
    </w:p>
    <w:p>
      <w:pPr>
        <w:pStyle w:val="30"/>
        <w:numPr>
          <w:ilvl w:val="1"/>
          <w:numId w:val="12"/>
        </w:numPr>
        <w:spacing w:line="360" w:lineRule="auto"/>
        <w:ind w:left="415" w:leftChars="0" w:hanging="415" w:hangingChars="1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有权监督中标人依据双方约定事项进行日常管理：若因服务问题工作人员工作不积极而导致管理不善致道路因乱停放的现象多，产生堵塞而被村民投诉或拍照影相不符合停车要求的，且经由村干部核实为有效投诉的，将由招标人对中标人进行金额惩罚，惩罚金额200元或以上最终解释权归招标人。</w:t>
      </w:r>
    </w:p>
    <w:p>
      <w:pPr>
        <w:pStyle w:val="30"/>
        <w:numPr>
          <w:ilvl w:val="1"/>
          <w:numId w:val="12"/>
        </w:numPr>
        <w:spacing w:line="360" w:lineRule="auto"/>
        <w:ind w:left="415" w:leftChars="0" w:hanging="415" w:hangingChars="1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可对中标人进行约谈，要求加强巡查整改，如因中标人工作人员态度不好导致处事不公而引发纠纷案或投诉案多的，招标人有权要求中标人在限期内整改并更换人员，如中标人限期拒不整改的，视为中标人根本违约，招标人有权单方面解除合同，</w:t>
      </w:r>
      <w:r>
        <w:rPr>
          <w:rFonts w:hint="eastAsia" w:ascii="宋体" w:hAnsi="宋体" w:cs="宋体"/>
          <w:color w:val="auto"/>
          <w:sz w:val="24"/>
          <w:szCs w:val="24"/>
          <w:highlight w:val="none"/>
          <w:lang w:eastAsia="zh-CN"/>
        </w:rPr>
        <w:t>不予退还中标人履约保证金</w:t>
      </w:r>
      <w:r>
        <w:rPr>
          <w:rFonts w:hint="eastAsia" w:ascii="宋体" w:hAnsi="宋体" w:eastAsia="宋体" w:cs="宋体"/>
          <w:color w:val="auto"/>
          <w:sz w:val="24"/>
          <w:szCs w:val="24"/>
          <w:highlight w:val="none"/>
        </w:rPr>
        <w:t>和不退回已交的服务费，中标人投入建设安装的一切设施设备无偿归招标人所有。</w:t>
      </w:r>
    </w:p>
    <w:p>
      <w:pPr>
        <w:pStyle w:val="30"/>
        <w:numPr>
          <w:ilvl w:val="1"/>
          <w:numId w:val="12"/>
        </w:numPr>
        <w:spacing w:line="360" w:lineRule="auto"/>
        <w:ind w:left="415" w:leftChars="0" w:hanging="415" w:hangingChars="17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招标人有权监督中标人依据双方约定事项进行日常管理</w:t>
      </w:r>
      <w:r>
        <w:rPr>
          <w:rStyle w:val="37"/>
          <w:rFonts w:hint="eastAsia" w:ascii="宋体" w:hAnsi="宋体" w:eastAsia="宋体" w:cs="宋体"/>
          <w:b w:val="0"/>
          <w:color w:val="auto"/>
          <w:sz w:val="24"/>
          <w:szCs w:val="24"/>
          <w:highlight w:val="none"/>
        </w:rPr>
        <w:t>。</w:t>
      </w:r>
    </w:p>
    <w:p>
      <w:pPr>
        <w:spacing w:line="460" w:lineRule="exact"/>
        <w:ind w:left="417" w:leftChars="0" w:hanging="417" w:hangingChars="173"/>
        <w:jc w:val="center"/>
        <w:outlineLvl w:val="1"/>
        <w:rPr>
          <w:rFonts w:hint="eastAsia" w:ascii="宋体" w:hAnsi="宋体" w:eastAsia="宋体" w:cs="宋体"/>
          <w:b/>
          <w:color w:val="auto"/>
          <w:sz w:val="24"/>
          <w:szCs w:val="24"/>
          <w:highlight w:val="none"/>
          <w:lang w:eastAsia="zh-CN"/>
        </w:rPr>
      </w:pPr>
    </w:p>
    <w:p>
      <w:pPr>
        <w:spacing w:line="460" w:lineRule="exact"/>
        <w:ind w:left="417" w:leftChars="0" w:hanging="417" w:hangingChars="173"/>
        <w:jc w:val="center"/>
        <w:outlineLvl w:val="1"/>
        <w:rPr>
          <w:rFonts w:hint="eastAsia" w:ascii="宋体" w:hAnsi="宋体" w:eastAsia="宋体" w:cs="宋体"/>
          <w:b/>
          <w:color w:val="auto"/>
          <w:sz w:val="24"/>
          <w:szCs w:val="24"/>
          <w:highlight w:val="none"/>
          <w:lang w:eastAsia="zh-CN"/>
        </w:rPr>
      </w:pPr>
      <w:bookmarkStart w:id="30" w:name="_Toc10156"/>
      <w:r>
        <w:rPr>
          <w:rFonts w:hint="eastAsia" w:ascii="宋体" w:hAnsi="宋体" w:eastAsia="宋体" w:cs="宋体"/>
          <w:b/>
          <w:color w:val="auto"/>
          <w:sz w:val="24"/>
          <w:szCs w:val="24"/>
          <w:highlight w:val="none"/>
          <w:lang w:eastAsia="zh-CN"/>
        </w:rPr>
        <w:t>三、项目商务要求</w:t>
      </w:r>
      <w:bookmarkEnd w:id="30"/>
    </w:p>
    <w:p>
      <w:pPr>
        <w:pStyle w:val="6"/>
        <w:ind w:left="415" w:leftChars="0" w:hanging="415" w:hangingChars="173"/>
        <w:rPr>
          <w:rFonts w:hint="eastAsia" w:ascii="宋体" w:hAnsi="宋体" w:eastAsia="宋体" w:cs="宋体"/>
          <w:color w:val="auto"/>
          <w:sz w:val="24"/>
          <w:szCs w:val="24"/>
          <w:highlight w:val="none"/>
        </w:rPr>
      </w:pPr>
    </w:p>
    <w:p>
      <w:pPr>
        <w:pStyle w:val="30"/>
        <w:numPr>
          <w:ilvl w:val="0"/>
          <w:numId w:val="13"/>
        </w:numPr>
        <w:spacing w:line="360" w:lineRule="auto"/>
        <w:ind w:left="624" w:leftChars="0" w:hanging="624"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★基本商务要求一览表</w:t>
      </w:r>
    </w:p>
    <w:tbl>
      <w:tblPr>
        <w:tblStyle w:val="19"/>
        <w:tblW w:w="9318" w:type="dxa"/>
        <w:tblInd w:w="-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45"/>
        <w:gridCol w:w="2050"/>
        <w:gridCol w:w="65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745"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50"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w:t>
            </w:r>
          </w:p>
        </w:tc>
        <w:tc>
          <w:tcPr>
            <w:tcW w:w="6523"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745"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50" w:type="dxa"/>
            <w:tcBorders>
              <w:tl2br w:val="nil"/>
              <w:tr2bl w:val="nil"/>
            </w:tcBorders>
            <w:noWrap w:val="0"/>
            <w:vAlign w:val="center"/>
          </w:tcPr>
          <w:p>
            <w:pPr>
              <w:ind w:left="415" w:leftChars="0" w:hanging="415" w:hangingChars="17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最低限价（由中标</w:t>
            </w:r>
          </w:p>
          <w:p>
            <w:pPr>
              <w:ind w:left="415" w:leftChars="0" w:hanging="415" w:hangingChars="17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支付）</w:t>
            </w:r>
          </w:p>
        </w:tc>
        <w:tc>
          <w:tcPr>
            <w:tcW w:w="6523"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150,000.00元/年</w:t>
            </w:r>
            <w:r>
              <w:rPr>
                <w:rFonts w:hint="eastAsia" w:ascii="宋体" w:hAnsi="宋体" w:eastAsia="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32" w:hRule="atLeast"/>
        </w:trPr>
        <w:tc>
          <w:tcPr>
            <w:tcW w:w="745"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50"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6523" w:type="dxa"/>
            <w:tcBorders>
              <w:tl2br w:val="nil"/>
              <w:tr2bl w:val="nil"/>
            </w:tcBorders>
            <w:noWrap w:val="0"/>
            <w:vAlign w:val="center"/>
          </w:tcPr>
          <w:p>
            <w:pPr>
              <w:numPr>
                <w:ilvl w:val="0"/>
                <w:numId w:val="14"/>
              </w:numPr>
              <w:ind w:left="425" w:leftChars="0" w:hanging="425"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报价不得低于本项目的最低限价，否则为无效报价。</w:t>
            </w:r>
          </w:p>
          <w:p>
            <w:pPr>
              <w:numPr>
                <w:ilvl w:val="0"/>
                <w:numId w:val="14"/>
              </w:numPr>
              <w:ind w:left="425" w:leftChars="0" w:hanging="425"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本项目报价方式为固定总价包干。投标报价为</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支付给</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费用。包括但不限于以下各项的支出费用由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另外自行承担：（1）工人工资、福利：人工费、劳工意外保险、工伤、医疗、</w:t>
            </w:r>
            <w:r>
              <w:rPr>
                <w:rFonts w:hint="eastAsia" w:ascii="宋体" w:hAnsi="宋体" w:eastAsia="宋体" w:cs="宋体"/>
                <w:color w:val="auto"/>
                <w:sz w:val="24"/>
                <w:szCs w:val="24"/>
                <w:highlight w:val="none"/>
                <w:lang w:eastAsia="zh-CN"/>
              </w:rPr>
              <w:t>失业</w:t>
            </w:r>
            <w:r>
              <w:rPr>
                <w:rFonts w:hint="eastAsia" w:ascii="宋体" w:hAnsi="宋体" w:eastAsia="宋体" w:cs="宋体"/>
                <w:color w:val="auto"/>
                <w:sz w:val="24"/>
                <w:szCs w:val="24"/>
                <w:highlight w:val="none"/>
              </w:rPr>
              <w:t>、养老保险、其他福利待遇、特殊人员体检费；（2）劳保用品、服装费：一切劳保用品、服装费用；（3）培训费：全体人员一切专业培训、办证费用；（4）员工的住宿及住宿费用；（5）项目运营、停车管理、软硬件投资建设和维护及服务等所发生的一切费用；（6）提供停车费全额含税发票；（7）合同实施过程中的应预见和不可预见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745"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50"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c>
          <w:tcPr>
            <w:tcW w:w="65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具体起止日期以合同约定为准。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46" w:hRule="atLeast"/>
        </w:trPr>
        <w:tc>
          <w:tcPr>
            <w:tcW w:w="745"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50"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停车费收取方式</w:t>
            </w:r>
          </w:p>
        </w:tc>
        <w:tc>
          <w:tcPr>
            <w:tcW w:w="65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21" w:leftChars="10" w:right="21" w:rightChars="1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中标人按照本合同制定的车辆管理费收费标准，对进入</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辖区内停放的外来车辆收取车辆管理维护</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费。</w:t>
            </w:r>
          </w:p>
          <w:p>
            <w:pPr>
              <w:keepNext w:val="0"/>
              <w:keepLines w:val="0"/>
              <w:pageBreakBefore w:val="0"/>
              <w:widowControl w:val="0"/>
              <w:numPr>
                <w:ilvl w:val="0"/>
                <w:numId w:val="0"/>
              </w:numPr>
              <w:kinsoku/>
              <w:wordWrap/>
              <w:overflowPunct/>
              <w:topLinePunct w:val="0"/>
              <w:autoSpaceDE/>
              <w:autoSpaceDN/>
              <w:bidi w:val="0"/>
              <w:adjustRightInd/>
              <w:snapToGrid/>
              <w:ind w:left="21" w:leftChars="10" w:right="21" w:rightChars="1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中标人在合同期内按季度向</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支付</w:t>
            </w:r>
            <w:r>
              <w:rPr>
                <w:rFonts w:hint="eastAsia" w:ascii="宋体" w:hAnsi="宋体" w:cs="宋体"/>
                <w:color w:val="auto"/>
                <w:sz w:val="24"/>
                <w:szCs w:val="24"/>
                <w:highlight w:val="none"/>
                <w:lang w:eastAsia="zh-CN"/>
              </w:rPr>
              <w:t>车辆停放管理服务维护费</w:t>
            </w:r>
            <w:r>
              <w:rPr>
                <w:rFonts w:hint="eastAsia" w:ascii="宋体" w:hAnsi="宋体" w:eastAsia="宋体" w:cs="宋体"/>
                <w:color w:val="auto"/>
                <w:sz w:val="24"/>
                <w:szCs w:val="24"/>
                <w:highlight w:val="none"/>
              </w:rPr>
              <w:t>：</w:t>
            </w:r>
          </w:p>
          <w:p>
            <w:pPr>
              <w:numPr>
                <w:ilvl w:val="0"/>
                <w:numId w:val="15"/>
              </w:numPr>
              <w:ind w:left="415" w:leftChars="0" w:hanging="415" w:hangingChars="17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按季度支付管理车辆维护服务费，中标人须在合同签订之日起5天内向</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支付</w:t>
            </w:r>
            <w:r>
              <w:rPr>
                <w:rFonts w:hint="eastAsia" w:ascii="宋体" w:hAnsi="宋体" w:cs="宋体"/>
                <w:color w:val="auto"/>
                <w:sz w:val="24"/>
                <w:szCs w:val="24"/>
                <w:highlight w:val="none"/>
                <w:lang w:val="en-US" w:eastAsia="zh-CN"/>
              </w:rPr>
              <w:t>第一季度</w:t>
            </w:r>
            <w:r>
              <w:rPr>
                <w:rFonts w:hint="eastAsia" w:ascii="宋体" w:hAnsi="宋体" w:eastAsia="宋体" w:cs="宋体"/>
                <w:color w:val="auto"/>
                <w:sz w:val="24"/>
                <w:szCs w:val="24"/>
                <w:highlight w:val="none"/>
              </w:rPr>
              <w:t>管理车辆维护服务费</w:t>
            </w:r>
            <w:r>
              <w:rPr>
                <w:rFonts w:hint="eastAsia" w:ascii="宋体" w:hAnsi="宋体" w:cs="宋体"/>
                <w:color w:val="auto"/>
                <w:sz w:val="24"/>
                <w:szCs w:val="24"/>
                <w:highlight w:val="none"/>
                <w:lang w:eastAsia="zh-CN"/>
              </w:rPr>
              <w:t>。</w:t>
            </w:r>
          </w:p>
          <w:p>
            <w:pPr>
              <w:numPr>
                <w:ilvl w:val="0"/>
                <w:numId w:val="15"/>
              </w:numPr>
              <w:ind w:left="415" w:leftChars="0" w:hanging="415" w:hangingChars="17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按先支付后管理使用原则，逾期15日未付清的视作根本性违约，</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有权单方解除本合同，并</w:t>
            </w:r>
            <w:r>
              <w:rPr>
                <w:rFonts w:hint="eastAsia" w:ascii="宋体" w:hAnsi="宋体" w:cs="宋体"/>
                <w:color w:val="auto"/>
                <w:sz w:val="24"/>
                <w:szCs w:val="24"/>
                <w:highlight w:val="none"/>
                <w:lang w:eastAsia="zh-CN"/>
              </w:rPr>
              <w:t>不予退还中标人履约全部履约</w:t>
            </w:r>
            <w:r>
              <w:rPr>
                <w:rFonts w:hint="eastAsia" w:ascii="宋体" w:hAnsi="宋体" w:eastAsia="宋体" w:cs="宋体"/>
                <w:color w:val="auto"/>
                <w:sz w:val="24"/>
                <w:szCs w:val="24"/>
                <w:highlight w:val="none"/>
              </w:rPr>
              <w:t>保证金，中标人投入建设安装的一切设施设备无偿归</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所有。</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在收取服务费时只提供</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开具的收据，如需要开具发票，所产生的税费由中标人承担。</w:t>
            </w:r>
          </w:p>
          <w:p>
            <w:pPr>
              <w:numPr>
                <w:ilvl w:val="0"/>
                <w:numId w:val="15"/>
              </w:numPr>
              <w:ind w:left="415" w:leftChars="0" w:hanging="415" w:hangingChars="17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如租户需要开具发票以及所产生的税费也由中标人承担。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745"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50"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5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21" w:leftChars="10" w:right="21" w:rightChars="1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自提交投标文件的截止之日起</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投标有效期延至合同验收之日。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95" w:hRule="atLeast"/>
        </w:trPr>
        <w:tc>
          <w:tcPr>
            <w:tcW w:w="745"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50"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合同履约保证金</w:t>
            </w:r>
          </w:p>
        </w:tc>
        <w:tc>
          <w:tcPr>
            <w:tcW w:w="6523"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21" w:leftChars="10" w:right="21" w:rightChars="1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履约保证金为</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万元。中标人在中标通知书发出3个工作日内，应以银行转账的方式向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交纳履约保证金。如中标人无违约行为的，服务期结束后30日内，</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将履约保证金全额无息退还给中标人。中标人不按要求提交履约保证金的，</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有权解除合同，取消中标人的成交资格，</w:t>
            </w:r>
            <w:r>
              <w:rPr>
                <w:rFonts w:hint="eastAsia" w:ascii="宋体" w:hAnsi="宋体" w:cs="宋体"/>
                <w:color w:val="auto"/>
                <w:sz w:val="24"/>
                <w:szCs w:val="24"/>
                <w:highlight w:val="none"/>
                <w:lang w:eastAsia="zh-CN"/>
              </w:rPr>
              <w:t>竞投保证金</w:t>
            </w:r>
            <w:r>
              <w:rPr>
                <w:rFonts w:hint="eastAsia" w:ascii="宋体" w:hAnsi="宋体" w:eastAsia="宋体" w:cs="宋体"/>
                <w:color w:val="auto"/>
                <w:sz w:val="24"/>
                <w:szCs w:val="24"/>
                <w:highlight w:val="none"/>
              </w:rPr>
              <w:t>不予退还。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85" w:hRule="atLeast"/>
        </w:trPr>
        <w:tc>
          <w:tcPr>
            <w:tcW w:w="745"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50" w:type="dxa"/>
            <w:tcBorders>
              <w:tl2br w:val="nil"/>
              <w:tr2bl w:val="nil"/>
            </w:tcBorders>
            <w:noWrap w:val="0"/>
            <w:vAlign w:val="center"/>
          </w:tcPr>
          <w:p>
            <w:pPr>
              <w:ind w:left="415" w:leftChars="0" w:hanging="415" w:hangingChars="17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6523" w:type="dxa"/>
            <w:tcBorders>
              <w:tl2br w:val="nil"/>
              <w:tr2bl w:val="nil"/>
            </w:tcBorders>
            <w:noWrap w:val="0"/>
            <w:vAlign w:val="center"/>
          </w:tcPr>
          <w:p>
            <w:pPr>
              <w:numPr>
                <w:ilvl w:val="-1"/>
                <w:numId w:val="0"/>
              </w:numPr>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合同期结束或由于其他原因导致合同终止安装的设施设备归</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所有，合同结束设施设备交付给</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时设施设备必须保证完整，状态完好，能正常使用，否则保证金不作退回。</w:t>
            </w:r>
          </w:p>
        </w:tc>
      </w:tr>
    </w:tbl>
    <w:p>
      <w:pPr>
        <w:spacing w:after="100" w:afterAutospacing="1"/>
        <w:ind w:left="415" w:leftChars="0" w:hanging="415" w:hangingChars="173"/>
        <w:rPr>
          <w:rFonts w:hint="eastAsia" w:ascii="宋体" w:hAnsi="宋体" w:eastAsia="宋体" w:cs="宋体"/>
          <w:color w:val="auto"/>
          <w:sz w:val="24"/>
          <w:szCs w:val="24"/>
          <w:highlight w:val="none"/>
          <w:lang w:eastAsia="zh-CN"/>
        </w:rPr>
      </w:pPr>
    </w:p>
    <w:p>
      <w:pPr>
        <w:pStyle w:val="30"/>
        <w:numPr>
          <w:ilvl w:val="0"/>
          <w:numId w:val="13"/>
        </w:numPr>
        <w:spacing w:line="360" w:lineRule="auto"/>
        <w:ind w:left="624" w:leftChars="0" w:hanging="624"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本项目</w:t>
      </w:r>
      <w:r>
        <w:rPr>
          <w:rFonts w:hint="eastAsia" w:ascii="宋体" w:hAnsi="宋体" w:eastAsia="宋体" w:cs="宋体"/>
          <w:b/>
          <w:color w:val="auto"/>
          <w:sz w:val="24"/>
          <w:szCs w:val="24"/>
          <w:highlight w:val="none"/>
        </w:rPr>
        <w:t>验收要求</w:t>
      </w:r>
    </w:p>
    <w:p>
      <w:pPr>
        <w:pStyle w:val="30"/>
        <w:numPr>
          <w:ilvl w:val="1"/>
          <w:numId w:val="13"/>
        </w:numPr>
        <w:spacing w:line="360" w:lineRule="auto"/>
        <w:ind w:left="624" w:leftChars="0" w:hanging="624"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（乙方）须为验收提供必需的一切条件及相关费用。</w:t>
      </w:r>
    </w:p>
    <w:p>
      <w:pPr>
        <w:pStyle w:val="30"/>
        <w:numPr>
          <w:ilvl w:val="0"/>
          <w:numId w:val="13"/>
        </w:numPr>
        <w:spacing w:line="360" w:lineRule="auto"/>
        <w:ind w:left="624" w:leftChars="0" w:hanging="624"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项目验收依次序对照执行标准</w:t>
      </w:r>
    </w:p>
    <w:p>
      <w:pPr>
        <w:pStyle w:val="30"/>
        <w:numPr>
          <w:ilvl w:val="1"/>
          <w:numId w:val="13"/>
        </w:numPr>
        <w:spacing w:line="360" w:lineRule="auto"/>
        <w:ind w:left="624" w:leftChars="0" w:hanging="624"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符合中华人民共和国国家和履约地相关安全质量标准、行业技术规范标准。</w:t>
      </w:r>
    </w:p>
    <w:p>
      <w:pPr>
        <w:pStyle w:val="30"/>
        <w:numPr>
          <w:ilvl w:val="1"/>
          <w:numId w:val="13"/>
        </w:numPr>
        <w:spacing w:line="360" w:lineRule="auto"/>
        <w:ind w:left="624" w:leftChars="0" w:hanging="624"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符合招标文件和投标承诺中各方共同认可的各项合理要求；</w:t>
      </w:r>
    </w:p>
    <w:p>
      <w:pPr>
        <w:pStyle w:val="30"/>
        <w:numPr>
          <w:ilvl w:val="1"/>
          <w:numId w:val="13"/>
        </w:numPr>
        <w:spacing w:line="360" w:lineRule="auto"/>
        <w:ind w:left="624" w:leftChars="0" w:hanging="624"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上述各类标准与法规必须是有关官方机构最新发布的现行标准版本</w:t>
      </w:r>
      <w:r>
        <w:rPr>
          <w:rFonts w:hint="eastAsia" w:ascii="宋体" w:hAnsi="宋体" w:eastAsia="宋体" w:cs="宋体"/>
          <w:color w:val="auto"/>
          <w:sz w:val="24"/>
          <w:szCs w:val="24"/>
          <w:highlight w:val="none"/>
          <w:lang w:val="zh-CN"/>
        </w:rPr>
        <w:t>。</w:t>
      </w:r>
    </w:p>
    <w:p>
      <w:pPr>
        <w:pStyle w:val="30"/>
        <w:numPr>
          <w:ilvl w:val="0"/>
          <w:numId w:val="13"/>
        </w:numPr>
        <w:spacing w:line="360" w:lineRule="auto"/>
        <w:ind w:left="624" w:leftChars="0" w:hanging="624"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招标人</w:t>
      </w:r>
      <w:r>
        <w:rPr>
          <w:rFonts w:hint="eastAsia" w:ascii="宋体" w:hAnsi="宋体" w:eastAsia="宋体" w:cs="宋体"/>
          <w:b/>
          <w:color w:val="auto"/>
          <w:sz w:val="24"/>
          <w:szCs w:val="24"/>
          <w:highlight w:val="none"/>
        </w:rPr>
        <w:t>的权利和义务</w:t>
      </w:r>
    </w:p>
    <w:p>
      <w:pPr>
        <w:pStyle w:val="30"/>
        <w:numPr>
          <w:ilvl w:val="1"/>
          <w:numId w:val="13"/>
        </w:numPr>
        <w:spacing w:line="360" w:lineRule="auto"/>
        <w:ind w:left="624" w:leftChars="0" w:hanging="624"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提出采购项目服务的意见和建议</w:t>
      </w:r>
      <w:r>
        <w:rPr>
          <w:rFonts w:hint="eastAsia" w:ascii="宋体" w:hAnsi="宋体" w:eastAsia="宋体" w:cs="宋体"/>
          <w:color w:val="auto"/>
          <w:sz w:val="24"/>
          <w:szCs w:val="24"/>
          <w:highlight w:val="none"/>
          <w:lang w:eastAsia="zh-CN"/>
        </w:rPr>
        <w:t>。</w:t>
      </w:r>
    </w:p>
    <w:p>
      <w:pPr>
        <w:pStyle w:val="30"/>
        <w:numPr>
          <w:ilvl w:val="1"/>
          <w:numId w:val="13"/>
        </w:numPr>
        <w:spacing w:line="360" w:lineRule="auto"/>
        <w:ind w:left="624" w:leftChars="0" w:hanging="624"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招标人有义务配合中标人做好各项日常管理工作，中标人应根据招标人建议制定有关管理制度和措施执行。招标人有权对中标人的管理方案进行检查及合理修改，共同优化管理工作。</w:t>
      </w:r>
    </w:p>
    <w:p>
      <w:pPr>
        <w:pStyle w:val="30"/>
        <w:numPr>
          <w:ilvl w:val="1"/>
          <w:numId w:val="13"/>
        </w:numPr>
        <w:spacing w:line="360" w:lineRule="auto"/>
        <w:ind w:left="624" w:leftChars="0" w:hanging="624"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有权对中标人的日常管理工作进行监管检查，每季度进行一次全面考核评定，如中标人因管理不善或管理失误，给招标人造成严重负面影响或导致经济受损的，招标人有权单方面终止合同，并视中标人根本违约处理（</w:t>
      </w:r>
      <w:r>
        <w:rPr>
          <w:rFonts w:hint="eastAsia" w:ascii="宋体" w:hAnsi="宋体" w:cs="宋体"/>
          <w:color w:val="auto"/>
          <w:sz w:val="24"/>
          <w:szCs w:val="24"/>
          <w:highlight w:val="none"/>
          <w:lang w:eastAsia="zh-CN"/>
        </w:rPr>
        <w:t>不予退还中标人履约</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val="en-US" w:eastAsia="zh-CN"/>
        </w:rPr>
        <w:t>和不退回已交的服务费，中标人投入建设安装的一切设施设备无偿归招标人所有，并赔偿招标人的经济损失）。</w:t>
      </w:r>
    </w:p>
    <w:p>
      <w:pPr>
        <w:pStyle w:val="30"/>
        <w:numPr>
          <w:ilvl w:val="1"/>
          <w:numId w:val="13"/>
        </w:numPr>
        <w:spacing w:line="360" w:lineRule="auto"/>
        <w:ind w:left="624" w:leftChars="0" w:hanging="624"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为确保其依法具有收取车辆管理费的资格及权利，已严格按照有关法律程序研究制定出相关的收费及管理的村规民约，并经党员及村民代表大会表决通过及予以公布后实施，以便于中标人按规定管理及收费。在收费过程中所产生的纠纷投诉，中标人应自行负责处理。重大事件招标人有义务协助处理。</w:t>
      </w:r>
    </w:p>
    <w:p>
      <w:pPr>
        <w:pStyle w:val="30"/>
        <w:numPr>
          <w:ilvl w:val="1"/>
          <w:numId w:val="13"/>
        </w:numPr>
        <w:spacing w:line="360" w:lineRule="auto"/>
        <w:ind w:left="624" w:leftChars="0" w:hanging="624" w:firstLine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招标人对本辖区内的所有土地拥有使用权，中标人如需规划增设停车位置时必经招标人同意。设置停车位置的土地，如遇招标人开发使用时，中标人无条件配合执行</w:t>
      </w:r>
      <w:r>
        <w:rPr>
          <w:rFonts w:hint="eastAsia" w:ascii="宋体" w:hAnsi="宋体" w:eastAsia="宋体" w:cs="宋体"/>
          <w:color w:val="auto"/>
          <w:sz w:val="24"/>
          <w:szCs w:val="24"/>
          <w:highlight w:val="none"/>
        </w:rPr>
        <w:t>。</w:t>
      </w:r>
    </w:p>
    <w:p>
      <w:pPr>
        <w:pStyle w:val="30"/>
        <w:numPr>
          <w:ilvl w:val="0"/>
          <w:numId w:val="13"/>
        </w:numPr>
        <w:spacing w:line="360" w:lineRule="auto"/>
        <w:ind w:left="624" w:leftChars="0" w:hanging="624"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的权利和义务</w:t>
      </w:r>
    </w:p>
    <w:p>
      <w:pPr>
        <w:pStyle w:val="30"/>
        <w:numPr>
          <w:ilvl w:val="1"/>
          <w:numId w:val="13"/>
        </w:numPr>
        <w:tabs>
          <w:tab w:val="left" w:pos="420"/>
        </w:tabs>
        <w:spacing w:line="360" w:lineRule="auto"/>
        <w:ind w:left="424" w:leftChars="0" w:hanging="424"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要根据国家的有关法律、法规、政策及本合同的有关规定，在不违反本合同规定的基础上，自行制定有关规章制度车辆管理办法、实施细则等规定，中标人的管理工作不得影响招标人工作人员的日常正常工作。</w:t>
      </w:r>
    </w:p>
    <w:p>
      <w:pPr>
        <w:pStyle w:val="30"/>
        <w:numPr>
          <w:ilvl w:val="1"/>
          <w:numId w:val="13"/>
        </w:numPr>
        <w:tabs>
          <w:tab w:val="left" w:pos="420"/>
        </w:tabs>
        <w:spacing w:line="360" w:lineRule="auto"/>
        <w:ind w:left="424" w:leftChars="0" w:hanging="424"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要严格按照招标人制定的车辆管理收费标准进行收取车辆管理费。并提供优质的停车管理及道路交通管理服务，不得出现只收费不服务或多收费少服务的行为，如发现有，经指出不改的，视为中标人根本违约，招标人有权单方面解除合同，</w:t>
      </w:r>
      <w:r>
        <w:rPr>
          <w:rFonts w:hint="eastAsia" w:ascii="宋体" w:hAnsi="宋体" w:cs="宋体"/>
          <w:color w:val="auto"/>
          <w:sz w:val="24"/>
          <w:szCs w:val="24"/>
          <w:highlight w:val="none"/>
          <w:lang w:val="en-US" w:eastAsia="zh-CN"/>
        </w:rPr>
        <w:t>并</w:t>
      </w:r>
      <w:r>
        <w:rPr>
          <w:rFonts w:hint="eastAsia" w:ascii="宋体" w:hAnsi="宋体" w:cs="宋体"/>
          <w:color w:val="auto"/>
          <w:sz w:val="24"/>
          <w:szCs w:val="24"/>
          <w:highlight w:val="none"/>
          <w:lang w:eastAsia="zh-CN"/>
        </w:rPr>
        <w:t>不予退还中标人履约</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val="en-US" w:eastAsia="zh-CN"/>
        </w:rPr>
        <w:t>和不退回已交的服务费，中标人投入建设安装的一切设施设备无偿归招标人所有。</w:t>
      </w:r>
    </w:p>
    <w:p>
      <w:pPr>
        <w:pStyle w:val="30"/>
        <w:numPr>
          <w:ilvl w:val="1"/>
          <w:numId w:val="13"/>
        </w:numPr>
        <w:tabs>
          <w:tab w:val="left" w:pos="420"/>
        </w:tabs>
        <w:spacing w:line="360" w:lineRule="auto"/>
        <w:ind w:left="424" w:leftChars="0" w:hanging="424"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了日常管理工作能正常运作，中标人必须根据工作需要配置足够的工作人员（不少于3人）并办理好用工手续及购买意外保险。中标人员工不纳入招标人用工编制，不享受招标人员工的福利待遇，与招标人不成立劳动或劳务关系。中标人工作人员在合同期内所发生的安全事故、工伤及劳资纠纷等均由中标人负责，一切责任与招标人无关，如屡屡出现人手不足的现象，视为中标人根本违约，招标人有权单方面解除合同，</w:t>
      </w:r>
      <w:r>
        <w:rPr>
          <w:rFonts w:hint="eastAsia" w:ascii="宋体" w:hAnsi="宋体" w:cs="宋体"/>
          <w:color w:val="auto"/>
          <w:sz w:val="24"/>
          <w:szCs w:val="24"/>
          <w:highlight w:val="none"/>
          <w:lang w:val="en-US" w:eastAsia="zh-CN"/>
        </w:rPr>
        <w:t>并</w:t>
      </w:r>
      <w:r>
        <w:rPr>
          <w:rFonts w:hint="eastAsia" w:ascii="宋体" w:hAnsi="宋体" w:cs="宋体"/>
          <w:color w:val="auto"/>
          <w:sz w:val="24"/>
          <w:szCs w:val="24"/>
          <w:highlight w:val="none"/>
          <w:lang w:eastAsia="zh-CN"/>
        </w:rPr>
        <w:t>不予退还中标人履约</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val="en-US" w:eastAsia="zh-CN"/>
        </w:rPr>
        <w:t>和不退回已交的服务费，中标人投入建设安装的一切设施设备无偿归招标人所有。</w:t>
      </w:r>
    </w:p>
    <w:p>
      <w:pPr>
        <w:pStyle w:val="30"/>
        <w:numPr>
          <w:ilvl w:val="1"/>
          <w:numId w:val="13"/>
        </w:numPr>
        <w:tabs>
          <w:tab w:val="left" w:pos="420"/>
        </w:tabs>
        <w:spacing w:line="360" w:lineRule="auto"/>
        <w:ind w:left="424" w:leftChars="0" w:hanging="424"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要严格督促工作人员做好辖区内的日常道路交通管理巡查工作，确保村内各道闸出入口及各大小村道时刻保持畅通无阻，不得出现有车辆因乱停放而导致阻塞交通的现象发生。如出现有阻塞现象应派人到现场及时处理，如出现有15分钟后还没有人处理的现象，招标人有权收取中标人每次人民币200元的违约金。</w:t>
      </w:r>
    </w:p>
    <w:p>
      <w:pPr>
        <w:pStyle w:val="30"/>
        <w:numPr>
          <w:ilvl w:val="1"/>
          <w:numId w:val="13"/>
        </w:numPr>
        <w:tabs>
          <w:tab w:val="left" w:pos="420"/>
        </w:tabs>
        <w:spacing w:line="360" w:lineRule="auto"/>
        <w:ind w:left="424" w:leftChars="0" w:hanging="424"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工作人员上班时要着装统一，工作要吃苦耐劳，勤巡勤查，待人处事需热情服务，如出现有因工作人员礼貌不周或处事不公而导致发生纠纷案和投诉案的，中标人要自行及时设法处理，事后要自查自纠，吸取教训及时整改。合同期内出现三次投诉的，招标人有权解除本合同，并视中标人违约</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不予退还中标人履约</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val="en-US" w:eastAsia="zh-CN"/>
        </w:rPr>
        <w:t>以作为招标人的经济补偿。</w:t>
      </w:r>
    </w:p>
    <w:p>
      <w:pPr>
        <w:pStyle w:val="30"/>
        <w:numPr>
          <w:ilvl w:val="1"/>
          <w:numId w:val="13"/>
        </w:numPr>
        <w:tabs>
          <w:tab w:val="left" w:pos="420"/>
        </w:tabs>
        <w:spacing w:line="360" w:lineRule="auto"/>
        <w:ind w:left="424" w:leftChars="0" w:hanging="424"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为了切实做好车辆的有序停放管理，中标人要适时对辖区内的停车位进行合理规划设置。将本地车位与外地临时车位进行区分管理，中标人应严格管理控制禁止外来车辆在本地车位上停放过夜。</w:t>
      </w:r>
      <w:r>
        <w:rPr>
          <w:rFonts w:hint="eastAsia" w:ascii="宋体" w:hAnsi="宋体" w:cs="宋体"/>
          <w:color w:val="auto"/>
          <w:sz w:val="24"/>
          <w:szCs w:val="24"/>
          <w:highlight w:val="none"/>
          <w:lang w:val="en-US" w:eastAsia="zh-CN"/>
        </w:rPr>
        <w:t>吉利竹甫村</w:t>
      </w:r>
      <w:r>
        <w:rPr>
          <w:rFonts w:hint="eastAsia" w:ascii="宋体" w:hAnsi="宋体" w:eastAsia="宋体" w:cs="宋体"/>
          <w:color w:val="auto"/>
          <w:sz w:val="24"/>
          <w:szCs w:val="24"/>
          <w:highlight w:val="none"/>
          <w:lang w:val="en-US" w:eastAsia="zh-CN"/>
        </w:rPr>
        <w:t>辖区内的村民住宅以外的车位均为共享车位，禁止私装地锁或摆设物品霸占，否则中标人有权没收处理。</w:t>
      </w:r>
    </w:p>
    <w:p>
      <w:pPr>
        <w:pStyle w:val="30"/>
        <w:numPr>
          <w:ilvl w:val="1"/>
          <w:numId w:val="13"/>
        </w:numPr>
        <w:tabs>
          <w:tab w:val="left" w:pos="420"/>
        </w:tabs>
        <w:spacing w:line="360" w:lineRule="auto"/>
        <w:ind w:left="424" w:leftChars="0" w:hanging="424"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在签订合同后，根据现时村内情况，对辖区内破旧车位重新划热熔线（破旧车位数待定），并完善所有道路标识、道路监控以及部分停车位设施。统一完善后，中标人也要对车位划线、道路标识、停车设施等定期检查及维护更新，对危险路段及停车场等做好交通标志指示牌的安装，以起到警示作用（如禁停牌、限速牌、限重牌、停车场标识、凸面广角镜等）。上述所产生的一切费用均由中标人承担。</w:t>
      </w:r>
    </w:p>
    <w:p>
      <w:pPr>
        <w:pStyle w:val="30"/>
        <w:numPr>
          <w:ilvl w:val="0"/>
          <w:numId w:val="0"/>
        </w:numPr>
        <w:spacing w:line="360" w:lineRule="auto"/>
        <w:ind w:left="0" w:leftChars="0" w:firstLine="420" w:firstLineChars="175"/>
        <w:jc w:val="left"/>
        <w:rPr>
          <w:rFonts w:hint="eastAsia" w:ascii="宋体" w:hAnsi="宋体" w:eastAsia="宋体" w:cs="宋体"/>
          <w:color w:val="auto"/>
          <w:sz w:val="24"/>
          <w:szCs w:val="24"/>
          <w:highlight w:val="none"/>
          <w:lang w:val="en-US" w:eastAsia="zh-CN"/>
        </w:rPr>
      </w:pPr>
    </w:p>
    <w:p>
      <w:pPr>
        <w:pStyle w:val="30"/>
        <w:numPr>
          <w:ilvl w:val="1"/>
          <w:numId w:val="13"/>
        </w:numPr>
        <w:tabs>
          <w:tab w:val="left" w:pos="420"/>
        </w:tabs>
        <w:spacing w:line="360" w:lineRule="auto"/>
        <w:ind w:left="424" w:leftChars="0" w:hanging="424"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时需对所有设备进行维护、保养以确保其正常运行工作。在合同期内，中标人对车辆管理的设备维护更新或增设等费用均由中标人承担。合同期满后，中标人须要将所有设备（含新建和原有的硬件与软件）及各类管理档案资料等正常完好地无偿移交给招标人。如有损坏，招标人有权请人进行修复，但所产生费用均由中标人支付或从</w:t>
      </w:r>
      <w:r>
        <w:rPr>
          <w:rFonts w:hint="eastAsia" w:ascii="宋体" w:hAnsi="宋体" w:cs="宋体"/>
          <w:color w:val="auto"/>
          <w:sz w:val="24"/>
          <w:szCs w:val="24"/>
          <w:highlight w:val="none"/>
          <w:lang w:val="en-US" w:eastAsia="zh-CN"/>
        </w:rPr>
        <w:t>履约</w:t>
      </w:r>
      <w:r>
        <w:rPr>
          <w:rFonts w:hint="eastAsia" w:ascii="宋体" w:hAnsi="宋体" w:eastAsia="宋体" w:cs="宋体"/>
          <w:color w:val="auto"/>
          <w:sz w:val="24"/>
          <w:szCs w:val="24"/>
          <w:highlight w:val="none"/>
          <w:lang w:val="en-US" w:eastAsia="zh-CN"/>
        </w:rPr>
        <w:t>保证金处扣除。</w:t>
      </w:r>
    </w:p>
    <w:p>
      <w:pPr>
        <w:jc w:val="left"/>
        <w:rPr>
          <w:rFonts w:hint="eastAsia" w:ascii="宋体" w:hAnsi="宋体" w:eastAsia="宋体" w:cs="Times New Roman"/>
          <w:b/>
          <w:color w:val="auto"/>
          <w:kern w:val="2"/>
          <w:sz w:val="36"/>
          <w:szCs w:val="36"/>
          <w:highlight w:val="none"/>
          <w:lang w:val="en-US" w:eastAsia="zh-CN" w:bidi="ar-SA"/>
        </w:rPr>
      </w:pPr>
      <w:r>
        <w:rPr>
          <w:rFonts w:hint="eastAsia" w:ascii="宋体" w:hAnsi="宋体" w:eastAsia="宋体" w:cs="Times New Roman"/>
          <w:b/>
          <w:color w:val="auto"/>
          <w:kern w:val="2"/>
          <w:sz w:val="36"/>
          <w:szCs w:val="36"/>
          <w:highlight w:val="none"/>
          <w:lang w:val="en-US" w:eastAsia="zh-CN" w:bidi="ar-SA"/>
        </w:rPr>
        <w:br w:type="page"/>
      </w:r>
    </w:p>
    <w:p>
      <w:pPr>
        <w:jc w:val="center"/>
        <w:rPr>
          <w:rFonts w:hint="eastAsia" w:ascii="宋体" w:hAnsi="宋体" w:eastAsia="宋体" w:cs="Times New Roman"/>
          <w:b/>
          <w:color w:val="auto"/>
          <w:kern w:val="2"/>
          <w:sz w:val="36"/>
          <w:szCs w:val="36"/>
          <w:highlight w:val="none"/>
          <w:lang w:val="en-US" w:eastAsia="zh-CN" w:bidi="ar-SA"/>
        </w:rPr>
      </w:pPr>
      <w:r>
        <w:rPr>
          <w:rFonts w:hint="eastAsia" w:ascii="宋体" w:hAnsi="宋体" w:eastAsia="宋体" w:cs="Times New Roman"/>
          <w:b/>
          <w:color w:val="auto"/>
          <w:kern w:val="2"/>
          <w:sz w:val="36"/>
          <w:szCs w:val="36"/>
          <w:highlight w:val="none"/>
          <w:lang w:val="en-US" w:eastAsia="zh-CN" w:bidi="ar-SA"/>
        </w:rPr>
        <w:t>第三部分投标人须知</w:t>
      </w:r>
      <w:bookmarkEnd w:id="26"/>
      <w:bookmarkEnd w:id="27"/>
      <w:bookmarkEnd w:id="28"/>
      <w:bookmarkEnd w:id="29"/>
    </w:p>
    <w:p>
      <w:pPr>
        <w:spacing w:after="72" w:afterLines="30" w:line="336" w:lineRule="auto"/>
        <w:ind w:right="-178" w:rightChars="-85"/>
        <w:jc w:val="center"/>
        <w:outlineLvl w:val="1"/>
        <w:rPr>
          <w:rFonts w:ascii="宋体"/>
          <w:b/>
          <w:color w:val="auto"/>
          <w:sz w:val="28"/>
          <w:szCs w:val="28"/>
          <w:highlight w:val="none"/>
        </w:rPr>
      </w:pPr>
      <w:bookmarkStart w:id="31" w:name="_Toc4244"/>
      <w:bookmarkStart w:id="32" w:name="_Toc14893"/>
      <w:bookmarkStart w:id="33" w:name="_Toc334432589"/>
      <w:bookmarkStart w:id="34" w:name="_Toc488"/>
      <w:bookmarkStart w:id="35" w:name="_Toc519"/>
      <w:r>
        <w:rPr>
          <w:rFonts w:hint="eastAsia" w:ascii="宋体" w:hAnsi="宋体"/>
          <w:b/>
          <w:color w:val="auto"/>
          <w:sz w:val="28"/>
          <w:szCs w:val="28"/>
          <w:highlight w:val="none"/>
        </w:rPr>
        <w:t>一、</w:t>
      </w:r>
      <w:r>
        <w:rPr>
          <w:rFonts w:hint="eastAsia" w:ascii="宋体" w:hAnsi="宋体"/>
          <w:b/>
          <w:color w:val="auto"/>
          <w:sz w:val="28"/>
          <w:szCs w:val="28"/>
          <w:highlight w:val="none"/>
          <w:lang w:eastAsia="zh-CN"/>
        </w:rPr>
        <w:t>投标</w:t>
      </w:r>
      <w:r>
        <w:rPr>
          <w:rFonts w:hint="eastAsia" w:ascii="宋体" w:hAnsi="宋体"/>
          <w:b/>
          <w:color w:val="auto"/>
          <w:sz w:val="28"/>
          <w:szCs w:val="28"/>
          <w:highlight w:val="none"/>
        </w:rPr>
        <w:t>须知前附表</w:t>
      </w:r>
      <w:bookmarkEnd w:id="31"/>
      <w:bookmarkEnd w:id="32"/>
      <w:bookmarkEnd w:id="33"/>
      <w:bookmarkEnd w:id="34"/>
      <w:bookmarkEnd w:id="35"/>
    </w:p>
    <w:tbl>
      <w:tblPr>
        <w:tblStyle w:val="19"/>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709" w:type="dxa"/>
            <w:shd w:val="clear" w:color="auto" w:fill="E6E6E6"/>
            <w:noWrap w:val="0"/>
            <w:vAlign w:val="center"/>
          </w:tcPr>
          <w:p>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849" w:type="dxa"/>
            <w:shd w:val="clear" w:color="auto" w:fill="E6E6E6"/>
            <w:noWrap w:val="0"/>
            <w:vAlign w:val="center"/>
          </w:tcPr>
          <w:p>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内容</w:t>
            </w:r>
          </w:p>
        </w:tc>
        <w:tc>
          <w:tcPr>
            <w:tcW w:w="7194" w:type="dxa"/>
            <w:shd w:val="clear" w:color="auto" w:fill="E6E6E6"/>
            <w:noWrap w:val="0"/>
            <w:vAlign w:val="center"/>
          </w:tcPr>
          <w:p>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09" w:type="dxa"/>
            <w:noWrap w:val="0"/>
            <w:vAlign w:val="center"/>
          </w:tcPr>
          <w:p>
            <w:pPr>
              <w:numPr>
                <w:ilvl w:val="0"/>
                <w:numId w:val="16"/>
              </w:numPr>
              <w:tabs>
                <w:tab w:val="left" w:pos="252"/>
                <w:tab w:val="clear" w:pos="420"/>
              </w:tabs>
              <w:ind w:right="-107" w:rightChars="-51"/>
              <w:jc w:val="center"/>
              <w:rPr>
                <w:rFonts w:hint="eastAsia" w:asciiTheme="minorEastAsia" w:hAnsiTheme="minorEastAsia" w:eastAsiaTheme="minorEastAsia" w:cstheme="minorEastAsia"/>
                <w:color w:val="auto"/>
                <w:sz w:val="24"/>
                <w:szCs w:val="24"/>
                <w:highlight w:val="none"/>
              </w:rPr>
            </w:pPr>
          </w:p>
        </w:tc>
        <w:tc>
          <w:tcPr>
            <w:tcW w:w="1849"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竞投</w:t>
            </w:r>
            <w:r>
              <w:rPr>
                <w:rFonts w:hint="eastAsia" w:asciiTheme="minorEastAsia" w:hAnsiTheme="minorEastAsia" w:eastAsiaTheme="minorEastAsia" w:cstheme="minorEastAsia"/>
                <w:color w:val="auto"/>
                <w:sz w:val="24"/>
                <w:szCs w:val="24"/>
                <w:highlight w:val="none"/>
              </w:rPr>
              <w:t>保证金</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b/>
            </w:r>
          </w:p>
        </w:tc>
        <w:tc>
          <w:tcPr>
            <w:tcW w:w="7194" w:type="dxa"/>
            <w:noWrap w:val="0"/>
            <w:vAlign w:val="center"/>
          </w:tcPr>
          <w:p>
            <w:pPr>
              <w:tabs>
                <w:tab w:val="left" w:pos="459"/>
                <w:tab w:val="left" w:pos="601"/>
              </w:tabs>
              <w:adjustRightInd w:val="0"/>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竞投</w:t>
            </w:r>
            <w:r>
              <w:rPr>
                <w:rFonts w:hint="eastAsia" w:asciiTheme="minorEastAsia" w:hAnsiTheme="minorEastAsia" w:eastAsiaTheme="minorEastAsia" w:cstheme="minorEastAsia"/>
                <w:color w:val="auto"/>
                <w:sz w:val="24"/>
                <w:szCs w:val="24"/>
                <w:highlight w:val="none"/>
              </w:rPr>
              <w:t>保证金的金额（人民币）：</w:t>
            </w:r>
            <w:r>
              <w:rPr>
                <w:rFonts w:hint="eastAsia" w:asciiTheme="minorEastAsia" w:hAnsiTheme="minorEastAsia" w:eastAsiaTheme="minorEastAsia" w:cstheme="minorEastAsia"/>
                <w:color w:val="auto"/>
                <w:sz w:val="24"/>
                <w:szCs w:val="24"/>
                <w:highlight w:val="none"/>
                <w:lang w:val="en-US" w:eastAsia="zh-CN"/>
              </w:rPr>
              <w:t>5万</w:t>
            </w:r>
            <w:r>
              <w:rPr>
                <w:rFonts w:hint="eastAsia" w:asciiTheme="minorEastAsia" w:hAnsiTheme="minorEastAsia" w:eastAsiaTheme="minorEastAsia" w:cstheme="minorEastAsia"/>
                <w:color w:val="auto"/>
                <w:sz w:val="24"/>
                <w:szCs w:val="24"/>
                <w:highlight w:val="none"/>
              </w:rPr>
              <w:t>元</w:t>
            </w:r>
          </w:p>
          <w:p>
            <w:pPr>
              <w:tabs>
                <w:tab w:val="left" w:pos="459"/>
                <w:tab w:val="left" w:pos="601"/>
              </w:tabs>
              <w:adjustRightInd w:val="0"/>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竞投</w:t>
            </w:r>
            <w:r>
              <w:rPr>
                <w:rFonts w:hint="eastAsia" w:asciiTheme="minorEastAsia" w:hAnsiTheme="minorEastAsia" w:eastAsiaTheme="minorEastAsia" w:cstheme="minorEastAsia"/>
                <w:color w:val="auto"/>
                <w:sz w:val="24"/>
                <w:szCs w:val="24"/>
                <w:highlight w:val="none"/>
              </w:rPr>
              <w:t>保证金的缴纳形式及要求：</w:t>
            </w:r>
          </w:p>
          <w:p>
            <w:pPr>
              <w:tabs>
                <w:tab w:val="left" w:pos="459"/>
                <w:tab w:val="left" w:pos="601"/>
              </w:tabs>
              <w:adjustRightInd w:val="0"/>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以银行转账方式提交</w:t>
            </w:r>
            <w:r>
              <w:rPr>
                <w:rFonts w:hint="eastAsia" w:asciiTheme="minorEastAsia" w:hAnsiTheme="minorEastAsia" w:eastAsiaTheme="minorEastAsia" w:cstheme="minorEastAsia"/>
                <w:color w:val="auto"/>
                <w:sz w:val="24"/>
                <w:szCs w:val="24"/>
                <w:highlight w:val="none"/>
                <w:lang w:eastAsia="zh-CN"/>
              </w:rPr>
              <w:t>竞投</w:t>
            </w:r>
            <w:r>
              <w:rPr>
                <w:rFonts w:hint="eastAsia" w:asciiTheme="minorEastAsia" w:hAnsiTheme="minorEastAsia" w:eastAsiaTheme="minorEastAsia" w:cstheme="minorEastAsia"/>
                <w:color w:val="auto"/>
                <w:sz w:val="24"/>
                <w:szCs w:val="24"/>
                <w:highlight w:val="none"/>
              </w:rPr>
              <w:t>保证金：</w:t>
            </w:r>
          </w:p>
          <w:p>
            <w:pPr>
              <w:tabs>
                <w:tab w:val="left" w:pos="459"/>
                <w:tab w:val="left" w:pos="601"/>
              </w:tabs>
              <w:adjustRightInd w:val="0"/>
              <w:snapToGrid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缴纳方式：</w:t>
            </w:r>
          </w:p>
          <w:p>
            <w:pPr>
              <w:tabs>
                <w:tab w:val="left" w:pos="459"/>
                <w:tab w:val="left" w:pos="601"/>
              </w:tabs>
              <w:adjustRightInd w:val="0"/>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val="en-US" w:eastAsia="zh-CN"/>
              </w:rPr>
              <w:t>为法人：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竞投</w:t>
            </w:r>
            <w:r>
              <w:rPr>
                <w:rFonts w:hint="eastAsia" w:asciiTheme="minorEastAsia" w:hAnsiTheme="minorEastAsia" w:eastAsiaTheme="minorEastAsia" w:cstheme="minorEastAsia"/>
                <w:color w:val="auto"/>
                <w:sz w:val="24"/>
                <w:szCs w:val="24"/>
                <w:highlight w:val="none"/>
              </w:rPr>
              <w:t>截止时间之前（以银行到账时间为准），从本单位的基本账户通过银行汇款或转账的形式，将</w:t>
            </w:r>
            <w:r>
              <w:rPr>
                <w:rFonts w:hint="eastAsia" w:asciiTheme="minorEastAsia" w:hAnsiTheme="minorEastAsia" w:eastAsiaTheme="minorEastAsia" w:cstheme="minorEastAsia"/>
                <w:color w:val="auto"/>
                <w:sz w:val="24"/>
                <w:szCs w:val="24"/>
                <w:highlight w:val="none"/>
                <w:lang w:eastAsia="zh-CN"/>
              </w:rPr>
              <w:t>竞投</w:t>
            </w:r>
            <w:r>
              <w:rPr>
                <w:rFonts w:hint="eastAsia" w:asciiTheme="minorEastAsia" w:hAnsiTheme="minorEastAsia" w:eastAsiaTheme="minorEastAsia" w:cstheme="minorEastAsia"/>
                <w:color w:val="auto"/>
                <w:sz w:val="24"/>
                <w:szCs w:val="24"/>
                <w:highlight w:val="none"/>
              </w:rPr>
              <w:t>保证金按规定金额从基本账户一次性转入或汇入到指定银行账户，否则</w:t>
            </w:r>
            <w:r>
              <w:rPr>
                <w:rFonts w:hint="eastAsia" w:asciiTheme="minorEastAsia" w:hAnsiTheme="minorEastAsia" w:eastAsiaTheme="minorEastAsia" w:cstheme="minorEastAsia"/>
                <w:color w:val="auto"/>
                <w:sz w:val="24"/>
                <w:szCs w:val="24"/>
                <w:highlight w:val="none"/>
                <w:lang w:eastAsia="zh-CN"/>
              </w:rPr>
              <w:t>竞投</w:t>
            </w:r>
            <w:r>
              <w:rPr>
                <w:rFonts w:hint="eastAsia" w:asciiTheme="minorEastAsia" w:hAnsiTheme="minorEastAsia" w:eastAsiaTheme="minorEastAsia" w:cstheme="minorEastAsia"/>
                <w:color w:val="auto"/>
                <w:sz w:val="24"/>
                <w:szCs w:val="24"/>
                <w:highlight w:val="none"/>
              </w:rPr>
              <w:t>无效。</w:t>
            </w:r>
          </w:p>
          <w:p>
            <w:pPr>
              <w:pStyle w:val="2"/>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为自然人，应在竞投截止时间之前（以银行到账时间为准），（1）从本人账户通过银行汇款或转账的形式或（2）银行柜台现金缴存方式，将竞投保证金按规定金额一次性转入或汇入到指定银行账户，否则竞投无效。（本项目不适用）</w:t>
            </w:r>
          </w:p>
          <w:p>
            <w:pPr>
              <w:tabs>
                <w:tab w:val="left" w:pos="459"/>
                <w:tab w:val="left" w:pos="601"/>
              </w:tabs>
              <w:adjustRightInd w:val="0"/>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竞投</w:t>
            </w:r>
            <w:r>
              <w:rPr>
                <w:rFonts w:hint="eastAsia" w:asciiTheme="minorEastAsia" w:hAnsiTheme="minorEastAsia" w:eastAsiaTheme="minorEastAsia" w:cstheme="minorEastAsia"/>
                <w:color w:val="auto"/>
                <w:sz w:val="24"/>
                <w:szCs w:val="24"/>
                <w:highlight w:val="none"/>
              </w:rPr>
              <w:t>保证金请按以下账号提供并以该银行到账时间为准：</w:t>
            </w:r>
          </w:p>
          <w:p>
            <w:pPr>
              <w:tabs>
                <w:tab w:val="left" w:pos="459"/>
                <w:tab w:val="left" w:pos="601"/>
              </w:tabs>
              <w:adjustRightInd w:val="0"/>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开户名称：佛山市禅城区南庄镇公共资源交易所</w:t>
            </w:r>
          </w:p>
          <w:p>
            <w:pPr>
              <w:tabs>
                <w:tab w:val="left" w:pos="459"/>
                <w:tab w:val="left" w:pos="601"/>
              </w:tabs>
              <w:adjustRightInd w:val="0"/>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账号：44536501040028342</w:t>
            </w:r>
          </w:p>
          <w:p>
            <w:pPr>
              <w:tabs>
                <w:tab w:val="left" w:pos="459"/>
                <w:tab w:val="left" w:pos="601"/>
              </w:tabs>
              <w:adjustRightInd w:val="0"/>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开户银行名称：中国农业银行股份有限公司佛山南庄支行</w:t>
            </w:r>
          </w:p>
          <w:p>
            <w:pPr>
              <w:tabs>
                <w:tab w:val="left" w:pos="459"/>
                <w:tab w:val="left" w:pos="601"/>
              </w:tabs>
              <w:adjustRightInd w:val="0"/>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竞投</w:t>
            </w:r>
            <w:r>
              <w:rPr>
                <w:rFonts w:hint="eastAsia" w:asciiTheme="minorEastAsia" w:hAnsiTheme="minorEastAsia" w:eastAsiaTheme="minorEastAsia" w:cstheme="minorEastAsia"/>
                <w:color w:val="auto"/>
                <w:sz w:val="24"/>
                <w:szCs w:val="24"/>
                <w:highlight w:val="none"/>
              </w:rPr>
              <w:t>保证金的金额（人民币）：</w:t>
            </w:r>
            <w:r>
              <w:rPr>
                <w:rFonts w:hint="eastAsia" w:asciiTheme="minorEastAsia" w:hAnsiTheme="minorEastAsia" w:eastAsiaTheme="minorEastAsia" w:cstheme="minorEastAsia"/>
                <w:color w:val="auto"/>
                <w:sz w:val="24"/>
                <w:szCs w:val="24"/>
                <w:highlight w:val="none"/>
                <w:lang w:val="en-US" w:eastAsia="zh-CN"/>
              </w:rPr>
              <w:t>5万</w:t>
            </w:r>
            <w:r>
              <w:rPr>
                <w:rFonts w:hint="eastAsia" w:asciiTheme="minorEastAsia" w:hAnsiTheme="minorEastAsia" w:eastAsiaTheme="minorEastAsia" w:cstheme="minorEastAsia"/>
                <w:color w:val="auto"/>
                <w:sz w:val="24"/>
                <w:szCs w:val="24"/>
                <w:highlight w:val="none"/>
              </w:rPr>
              <w:t>元</w:t>
            </w:r>
          </w:p>
          <w:p>
            <w:pPr>
              <w:tabs>
                <w:tab w:val="left" w:pos="459"/>
                <w:tab w:val="left" w:pos="601"/>
              </w:tabs>
              <w:adjustRightInd w:val="0"/>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（2）在办理转账时，请在转账摘要上注明“</w:t>
            </w:r>
            <w:r>
              <w:rPr>
                <w:rFonts w:hint="eastAsia" w:asciiTheme="minorEastAsia" w:hAnsiTheme="minorEastAsia" w:eastAsiaTheme="minorEastAsia" w:cstheme="minorEastAsia"/>
                <w:b w:val="0"/>
                <w:bCs w:val="0"/>
                <w:color w:val="auto"/>
                <w:sz w:val="24"/>
                <w:szCs w:val="24"/>
                <w:highlight w:val="none"/>
                <w:lang w:eastAsia="zh-CN"/>
              </w:rPr>
              <w:t>吉利竹甫村</w:t>
            </w:r>
            <w:r>
              <w:rPr>
                <w:rFonts w:hint="eastAsia" w:asciiTheme="minorEastAsia" w:hAnsiTheme="minorEastAsia" w:eastAsiaTheme="minorEastAsia" w:cstheme="minorEastAsia"/>
                <w:color w:val="auto"/>
                <w:sz w:val="24"/>
                <w:szCs w:val="24"/>
                <w:highlight w:val="none"/>
              </w:rPr>
              <w:t>”字样，若转账单上没有相应备注，则视为无效</w:t>
            </w:r>
            <w:r>
              <w:rPr>
                <w:rFonts w:hint="eastAsia" w:asciiTheme="minorEastAsia" w:hAnsiTheme="minorEastAsia" w:eastAsiaTheme="minorEastAsia" w:cstheme="minorEastAsia"/>
                <w:color w:val="auto"/>
                <w:sz w:val="24"/>
                <w:szCs w:val="24"/>
                <w:highlight w:val="none"/>
                <w:lang w:eastAsia="zh-CN"/>
              </w:rPr>
              <w:t>竞投</w:t>
            </w:r>
            <w:r>
              <w:rPr>
                <w:rFonts w:hint="eastAsia" w:asciiTheme="minorEastAsia" w:hAnsiTheme="minorEastAsia" w:eastAsiaTheme="minorEastAsia" w:cstheme="minorEastAsia"/>
                <w:color w:val="auto"/>
                <w:sz w:val="24"/>
                <w:szCs w:val="24"/>
                <w:highlight w:val="none"/>
              </w:rPr>
              <w:t>保证金。</w:t>
            </w:r>
          </w:p>
          <w:p>
            <w:pPr>
              <w:tabs>
                <w:tab w:val="left" w:pos="459"/>
                <w:tab w:val="left" w:pos="601"/>
              </w:tabs>
              <w:adjustRightInd w:val="0"/>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（3）公共资源交易所在接到招标人退还保证金通知书后5个工作日内退还给</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w:t>
            </w:r>
          </w:p>
          <w:p>
            <w:pPr>
              <w:tabs>
                <w:tab w:val="left" w:pos="459"/>
                <w:tab w:val="left" w:pos="601"/>
              </w:tabs>
              <w:adjustRightInd w:val="0"/>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应提前办理</w:t>
            </w:r>
            <w:r>
              <w:rPr>
                <w:rFonts w:hint="eastAsia" w:asciiTheme="minorEastAsia" w:hAnsiTheme="minorEastAsia" w:eastAsiaTheme="minorEastAsia" w:cstheme="minorEastAsia"/>
                <w:color w:val="auto"/>
                <w:sz w:val="24"/>
                <w:szCs w:val="24"/>
                <w:highlight w:val="none"/>
                <w:lang w:eastAsia="zh-CN"/>
              </w:rPr>
              <w:t>竞投</w:t>
            </w:r>
            <w:r>
              <w:rPr>
                <w:rFonts w:hint="eastAsia" w:asciiTheme="minorEastAsia" w:hAnsiTheme="minorEastAsia" w:eastAsiaTheme="minorEastAsia" w:cstheme="minorEastAsia"/>
                <w:color w:val="auto"/>
                <w:sz w:val="24"/>
                <w:szCs w:val="24"/>
                <w:highlight w:val="none"/>
              </w:rPr>
              <w:t>保证金手续，自行承担银行到账延误风险。</w:t>
            </w:r>
          </w:p>
          <w:p>
            <w:pPr>
              <w:tabs>
                <w:tab w:val="left" w:pos="459"/>
                <w:tab w:val="left" w:pos="601"/>
              </w:tabs>
              <w:adjustRightInd w:val="0"/>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（5）采用银行转账提交</w:t>
            </w:r>
            <w:r>
              <w:rPr>
                <w:rFonts w:hint="eastAsia" w:asciiTheme="minorEastAsia" w:hAnsiTheme="minorEastAsia" w:eastAsiaTheme="minorEastAsia" w:cstheme="minorEastAsia"/>
                <w:color w:val="auto"/>
                <w:sz w:val="24"/>
                <w:szCs w:val="24"/>
                <w:highlight w:val="none"/>
                <w:lang w:eastAsia="zh-CN"/>
              </w:rPr>
              <w:t>竞投</w:t>
            </w:r>
            <w:r>
              <w:rPr>
                <w:rFonts w:hint="eastAsia" w:asciiTheme="minorEastAsia" w:hAnsiTheme="minorEastAsia" w:eastAsiaTheme="minorEastAsia" w:cstheme="minorEastAsia"/>
                <w:color w:val="auto"/>
                <w:sz w:val="24"/>
                <w:szCs w:val="24"/>
                <w:highlight w:val="none"/>
              </w:rPr>
              <w:t>保证金的应在递交</w:t>
            </w:r>
            <w:r>
              <w:rPr>
                <w:rFonts w:hint="eastAsia" w:asciiTheme="minorEastAsia" w:hAnsiTheme="minorEastAsia" w:eastAsiaTheme="minorEastAsia" w:cstheme="minorEastAsia"/>
                <w:color w:val="auto"/>
                <w:sz w:val="24"/>
                <w:szCs w:val="24"/>
                <w:highlight w:val="none"/>
                <w:lang w:eastAsia="zh-CN"/>
              </w:rPr>
              <w:t>竞投</w:t>
            </w:r>
            <w:r>
              <w:rPr>
                <w:rFonts w:hint="eastAsia" w:asciiTheme="minorEastAsia" w:hAnsiTheme="minorEastAsia" w:eastAsiaTheme="minorEastAsia" w:cstheme="minorEastAsia"/>
                <w:color w:val="auto"/>
                <w:sz w:val="24"/>
                <w:szCs w:val="24"/>
                <w:highlight w:val="none"/>
              </w:rPr>
              <w:t>文件时提交转账凭证供核对。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noWrap w:val="0"/>
            <w:vAlign w:val="center"/>
          </w:tcPr>
          <w:p>
            <w:pPr>
              <w:numPr>
                <w:ilvl w:val="0"/>
                <w:numId w:val="16"/>
              </w:numPr>
              <w:tabs>
                <w:tab w:val="left" w:pos="252"/>
                <w:tab w:val="clear" w:pos="420"/>
              </w:tabs>
              <w:ind w:right="-107" w:rightChars="-51"/>
              <w:jc w:val="center"/>
              <w:rPr>
                <w:rFonts w:hint="eastAsia" w:asciiTheme="minorEastAsia" w:hAnsiTheme="minorEastAsia" w:eastAsiaTheme="minorEastAsia" w:cstheme="minorEastAsia"/>
                <w:color w:val="auto"/>
                <w:sz w:val="24"/>
                <w:szCs w:val="24"/>
                <w:highlight w:val="none"/>
              </w:rPr>
            </w:pPr>
          </w:p>
        </w:tc>
        <w:tc>
          <w:tcPr>
            <w:tcW w:w="1849"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竞投文件</w:t>
            </w:r>
            <w:r>
              <w:rPr>
                <w:rFonts w:hint="eastAsia" w:asciiTheme="minorEastAsia" w:hAnsiTheme="minorEastAsia" w:eastAsiaTheme="minorEastAsia" w:cstheme="minorEastAsia"/>
                <w:color w:val="auto"/>
                <w:sz w:val="24"/>
                <w:szCs w:val="24"/>
                <w:highlight w:val="none"/>
              </w:rPr>
              <w:t>的澄清</w:t>
            </w:r>
          </w:p>
        </w:tc>
        <w:tc>
          <w:tcPr>
            <w:tcW w:w="7194" w:type="dxa"/>
            <w:noWrap w:val="0"/>
            <w:vAlign w:val="center"/>
          </w:tcPr>
          <w:p>
            <w:pPr>
              <w:numPr>
                <w:ilvl w:val="0"/>
                <w:numId w:val="17"/>
              </w:numPr>
              <w:tabs>
                <w:tab w:val="left" w:pos="432"/>
              </w:tabs>
              <w:spacing w:line="30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不统一组织答疑会；</w:t>
            </w:r>
          </w:p>
          <w:p>
            <w:pPr>
              <w:numPr>
                <w:ilvl w:val="0"/>
                <w:numId w:val="17"/>
              </w:numPr>
              <w:tabs>
                <w:tab w:val="left" w:pos="432"/>
              </w:tabs>
              <w:spacing w:line="30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提出疑问期限：在</w:t>
            </w:r>
            <w:r>
              <w:rPr>
                <w:rFonts w:hint="eastAsia" w:asciiTheme="minorEastAsia" w:hAnsiTheme="minorEastAsia" w:eastAsiaTheme="minorEastAsia" w:cstheme="minorEastAsia"/>
                <w:color w:val="auto"/>
                <w:sz w:val="24"/>
                <w:szCs w:val="24"/>
                <w:highlight w:val="none"/>
                <w:lang w:eastAsia="zh-CN"/>
              </w:rPr>
              <w:t>竞投</w:t>
            </w:r>
            <w:r>
              <w:rPr>
                <w:rFonts w:hint="eastAsia" w:asciiTheme="minorEastAsia" w:hAnsiTheme="minorEastAsia" w:eastAsiaTheme="minorEastAsia" w:cstheme="minorEastAsia"/>
                <w:color w:val="auto"/>
                <w:sz w:val="24"/>
                <w:szCs w:val="24"/>
                <w:highlight w:val="none"/>
              </w:rPr>
              <w:t>截止日期前2日；</w:t>
            </w:r>
          </w:p>
          <w:p>
            <w:pPr>
              <w:numPr>
                <w:ilvl w:val="0"/>
                <w:numId w:val="17"/>
              </w:numPr>
              <w:tabs>
                <w:tab w:val="left" w:pos="432"/>
              </w:tabs>
              <w:spacing w:line="30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澄清、修改或答疑期限：在</w:t>
            </w:r>
            <w:r>
              <w:rPr>
                <w:rFonts w:hint="eastAsia" w:asciiTheme="minorEastAsia" w:hAnsiTheme="minorEastAsia" w:eastAsiaTheme="minorEastAsia" w:cstheme="minorEastAsia"/>
                <w:color w:val="auto"/>
                <w:sz w:val="24"/>
                <w:szCs w:val="24"/>
                <w:highlight w:val="none"/>
                <w:lang w:eastAsia="zh-CN"/>
              </w:rPr>
              <w:t>竞投</w:t>
            </w:r>
            <w:r>
              <w:rPr>
                <w:rFonts w:hint="eastAsia" w:asciiTheme="minorEastAsia" w:hAnsiTheme="minorEastAsia" w:eastAsiaTheme="minorEastAsia" w:cstheme="minorEastAsia"/>
                <w:color w:val="auto"/>
                <w:sz w:val="24"/>
                <w:szCs w:val="24"/>
                <w:highlight w:val="none"/>
              </w:rPr>
              <w:t>截止日期前1日。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09" w:type="dxa"/>
            <w:noWrap w:val="0"/>
            <w:vAlign w:val="center"/>
          </w:tcPr>
          <w:p>
            <w:pPr>
              <w:numPr>
                <w:ilvl w:val="0"/>
                <w:numId w:val="16"/>
              </w:numPr>
              <w:tabs>
                <w:tab w:val="left" w:pos="252"/>
                <w:tab w:val="clear" w:pos="420"/>
              </w:tabs>
              <w:ind w:right="-107" w:rightChars="-51"/>
              <w:jc w:val="center"/>
              <w:rPr>
                <w:rFonts w:hint="eastAsia" w:asciiTheme="minorEastAsia" w:hAnsiTheme="minorEastAsia" w:eastAsiaTheme="minorEastAsia" w:cstheme="minorEastAsia"/>
                <w:color w:val="auto"/>
                <w:sz w:val="24"/>
                <w:szCs w:val="24"/>
                <w:highlight w:val="none"/>
              </w:rPr>
            </w:pPr>
          </w:p>
        </w:tc>
        <w:tc>
          <w:tcPr>
            <w:tcW w:w="1849" w:type="dxa"/>
            <w:noWrap w:val="0"/>
            <w:vAlign w:val="center"/>
          </w:tcPr>
          <w:p>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递交</w:t>
            </w:r>
            <w:r>
              <w:rPr>
                <w:rFonts w:hint="eastAsia" w:asciiTheme="minorEastAsia" w:hAnsiTheme="minorEastAsia" w:eastAsiaTheme="minorEastAsia" w:cstheme="minorEastAsia"/>
                <w:color w:val="auto"/>
                <w:sz w:val="24"/>
                <w:szCs w:val="24"/>
                <w:highlight w:val="none"/>
                <w:lang w:eastAsia="zh-CN"/>
              </w:rPr>
              <w:t>资格审查</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时须提交的资料</w:t>
            </w:r>
          </w:p>
        </w:tc>
        <w:tc>
          <w:tcPr>
            <w:tcW w:w="7194" w:type="dxa"/>
            <w:noWrap w:val="0"/>
            <w:vAlign w:val="center"/>
          </w:tcPr>
          <w:p>
            <w:pPr>
              <w:spacing w:line="300" w:lineRule="auto"/>
              <w:rPr>
                <w:rFonts w:hint="eastAsia"/>
                <w:color w:val="auto"/>
                <w:sz w:val="24"/>
                <w:szCs w:val="32"/>
                <w:highlight w:val="none"/>
                <w:lang w:val="zh-CN"/>
              </w:rPr>
            </w:pPr>
            <w:r>
              <w:rPr>
                <w:rFonts w:hint="eastAsia"/>
                <w:color w:val="auto"/>
                <w:sz w:val="24"/>
                <w:szCs w:val="32"/>
                <w:highlight w:val="none"/>
                <w:lang w:val="zh-CN"/>
              </w:rPr>
              <w:t>投标人应凭以下资料递交</w:t>
            </w:r>
            <w:r>
              <w:rPr>
                <w:rFonts w:hint="eastAsia"/>
                <w:color w:val="auto"/>
                <w:sz w:val="24"/>
                <w:szCs w:val="32"/>
                <w:highlight w:val="none"/>
                <w:lang w:eastAsia="zh-CN"/>
              </w:rPr>
              <w:t>资格审查</w:t>
            </w:r>
            <w:r>
              <w:rPr>
                <w:rFonts w:hint="eastAsia"/>
                <w:color w:val="auto"/>
                <w:sz w:val="24"/>
                <w:szCs w:val="32"/>
                <w:highlight w:val="none"/>
                <w:lang w:val="zh-CN"/>
              </w:rPr>
              <w:t>文件（加盖投标人公章），否则，招标代理机构将有权拒收（</w:t>
            </w:r>
            <w:r>
              <w:rPr>
                <w:rFonts w:hint="eastAsia"/>
                <w:color w:val="auto"/>
                <w:sz w:val="24"/>
                <w:szCs w:val="32"/>
                <w:highlight w:val="none"/>
              </w:rPr>
              <w:t>用于递交</w:t>
            </w:r>
            <w:r>
              <w:rPr>
                <w:rFonts w:hint="eastAsia"/>
                <w:color w:val="auto"/>
                <w:sz w:val="24"/>
                <w:szCs w:val="32"/>
                <w:highlight w:val="none"/>
                <w:lang w:eastAsia="zh-CN"/>
              </w:rPr>
              <w:t>竞投</w:t>
            </w:r>
            <w:r>
              <w:rPr>
                <w:rFonts w:hint="eastAsia"/>
                <w:color w:val="auto"/>
                <w:sz w:val="24"/>
                <w:szCs w:val="32"/>
                <w:highlight w:val="none"/>
              </w:rPr>
              <w:t>文件的以下证明文件不得密封在</w:t>
            </w:r>
            <w:r>
              <w:rPr>
                <w:rFonts w:hint="eastAsia"/>
                <w:color w:val="auto"/>
                <w:sz w:val="24"/>
                <w:szCs w:val="32"/>
                <w:highlight w:val="none"/>
                <w:lang w:eastAsia="zh-CN"/>
              </w:rPr>
              <w:t>竞投</w:t>
            </w:r>
            <w:r>
              <w:rPr>
                <w:rFonts w:hint="eastAsia"/>
                <w:color w:val="auto"/>
                <w:sz w:val="24"/>
                <w:szCs w:val="32"/>
                <w:highlight w:val="none"/>
              </w:rPr>
              <w:t>文件包装袋内</w:t>
            </w:r>
            <w:r>
              <w:rPr>
                <w:rFonts w:hint="eastAsia"/>
                <w:color w:val="auto"/>
                <w:sz w:val="24"/>
                <w:szCs w:val="32"/>
                <w:highlight w:val="none"/>
                <w:lang w:val="zh-CN"/>
              </w:rPr>
              <w:t>）：</w:t>
            </w:r>
          </w:p>
          <w:p>
            <w:pPr>
              <w:pStyle w:val="2"/>
              <w:rPr>
                <w:rFonts w:hint="default"/>
                <w:color w:val="auto"/>
                <w:sz w:val="24"/>
                <w:szCs w:val="32"/>
                <w:highlight w:val="none"/>
                <w:lang w:val="en-US" w:eastAsia="zh-CN"/>
              </w:rPr>
            </w:pPr>
            <w:r>
              <w:rPr>
                <w:rFonts w:hint="eastAsia"/>
                <w:color w:val="auto"/>
                <w:sz w:val="24"/>
                <w:szCs w:val="32"/>
                <w:highlight w:val="none"/>
                <w:lang w:val="en-US" w:eastAsia="zh-CN"/>
              </w:rPr>
              <w:t>如为法人：</w:t>
            </w:r>
          </w:p>
          <w:p>
            <w:pPr>
              <w:numPr>
                <w:ilvl w:val="0"/>
                <w:numId w:val="18"/>
              </w:numPr>
              <w:tabs>
                <w:tab w:val="left" w:pos="432"/>
              </w:tabs>
              <w:spacing w:line="300" w:lineRule="auto"/>
              <w:ind w:left="425" w:leftChars="0" w:hanging="425" w:firstLineChars="0"/>
              <w:rPr>
                <w:rFonts w:hint="eastAsia"/>
                <w:color w:val="auto"/>
                <w:sz w:val="24"/>
                <w:szCs w:val="32"/>
                <w:highlight w:val="none"/>
                <w:lang w:val="zh-CN" w:eastAsia="zh-CN"/>
              </w:rPr>
            </w:pPr>
            <w:r>
              <w:rPr>
                <w:rFonts w:hint="eastAsia"/>
                <w:color w:val="auto"/>
                <w:sz w:val="24"/>
                <w:szCs w:val="32"/>
                <w:highlight w:val="none"/>
                <w:lang w:val="zh-CN" w:eastAsia="zh-CN"/>
              </w:rPr>
              <w:t>法定代表人/负责人资格证明书原件；</w:t>
            </w:r>
          </w:p>
          <w:p>
            <w:pPr>
              <w:numPr>
                <w:ilvl w:val="0"/>
                <w:numId w:val="18"/>
              </w:numPr>
              <w:tabs>
                <w:tab w:val="left" w:pos="432"/>
              </w:tabs>
              <w:spacing w:line="300" w:lineRule="auto"/>
              <w:ind w:left="425" w:leftChars="0" w:hanging="425" w:firstLineChars="0"/>
              <w:rPr>
                <w:rFonts w:hint="eastAsia"/>
                <w:color w:val="auto"/>
                <w:sz w:val="24"/>
                <w:szCs w:val="32"/>
                <w:highlight w:val="none"/>
                <w:lang w:val="zh-CN" w:eastAsia="zh-CN"/>
              </w:rPr>
            </w:pPr>
            <w:r>
              <w:rPr>
                <w:rFonts w:hint="eastAsia"/>
                <w:color w:val="auto"/>
                <w:sz w:val="24"/>
                <w:szCs w:val="32"/>
                <w:highlight w:val="none"/>
                <w:lang w:val="zh-CN" w:eastAsia="zh-CN"/>
              </w:rPr>
              <w:t>法定代表人/负责人授权书原件【</w:t>
            </w:r>
            <w:r>
              <w:rPr>
                <w:rFonts w:hint="eastAsia"/>
                <w:color w:val="auto"/>
                <w:sz w:val="24"/>
                <w:szCs w:val="32"/>
                <w:highlight w:val="none"/>
                <w:lang w:eastAsia="zh-CN"/>
              </w:rPr>
              <w:t>由投标人</w:t>
            </w:r>
            <w:r>
              <w:rPr>
                <w:rFonts w:hint="eastAsia"/>
                <w:color w:val="auto"/>
                <w:sz w:val="24"/>
                <w:szCs w:val="32"/>
                <w:highlight w:val="none"/>
                <w:lang w:val="zh-CN" w:eastAsia="zh-CN"/>
              </w:rPr>
              <w:t>法定代表人/负责人</w:t>
            </w:r>
            <w:r>
              <w:rPr>
                <w:rFonts w:hint="eastAsia"/>
                <w:color w:val="auto"/>
                <w:sz w:val="24"/>
                <w:szCs w:val="32"/>
                <w:highlight w:val="none"/>
                <w:lang w:eastAsia="zh-CN"/>
              </w:rPr>
              <w:t>的授权代表递交竞投文件时</w:t>
            </w:r>
            <w:r>
              <w:rPr>
                <w:rFonts w:hint="eastAsia"/>
                <w:color w:val="auto"/>
                <w:sz w:val="24"/>
                <w:szCs w:val="32"/>
                <w:highlight w:val="none"/>
                <w:lang w:val="zh-CN" w:eastAsia="zh-CN"/>
              </w:rPr>
              <w:t>须提供】；</w:t>
            </w:r>
          </w:p>
          <w:p>
            <w:pPr>
              <w:numPr>
                <w:ilvl w:val="0"/>
                <w:numId w:val="18"/>
              </w:numPr>
              <w:tabs>
                <w:tab w:val="left" w:pos="432"/>
              </w:tabs>
              <w:spacing w:line="300" w:lineRule="auto"/>
              <w:ind w:left="425" w:leftChars="0" w:hanging="425" w:firstLineChars="0"/>
              <w:rPr>
                <w:rFonts w:hint="eastAsia"/>
                <w:color w:val="auto"/>
                <w:sz w:val="24"/>
                <w:szCs w:val="32"/>
                <w:highlight w:val="none"/>
                <w:lang w:val="zh-CN" w:eastAsia="zh-CN"/>
              </w:rPr>
            </w:pPr>
            <w:r>
              <w:rPr>
                <w:rFonts w:hint="eastAsia"/>
                <w:color w:val="auto"/>
                <w:sz w:val="24"/>
                <w:szCs w:val="32"/>
                <w:highlight w:val="none"/>
                <w:lang w:val="zh-CN" w:eastAsia="zh-CN"/>
              </w:rPr>
              <w:t>法定代表人/负责人或授权代表本人身份证原件；</w:t>
            </w:r>
          </w:p>
          <w:p>
            <w:pPr>
              <w:numPr>
                <w:ilvl w:val="0"/>
                <w:numId w:val="18"/>
              </w:numPr>
              <w:tabs>
                <w:tab w:val="left" w:pos="432"/>
              </w:tabs>
              <w:spacing w:line="300" w:lineRule="auto"/>
              <w:ind w:left="425" w:leftChars="0" w:hanging="425" w:firstLineChars="0"/>
              <w:rPr>
                <w:rFonts w:hint="eastAsia"/>
                <w:color w:val="auto"/>
                <w:sz w:val="24"/>
                <w:szCs w:val="32"/>
                <w:highlight w:val="none"/>
              </w:rPr>
            </w:pPr>
            <w:r>
              <w:rPr>
                <w:rFonts w:hint="eastAsia"/>
                <w:color w:val="auto"/>
                <w:sz w:val="24"/>
                <w:szCs w:val="32"/>
                <w:highlight w:val="none"/>
                <w:lang w:eastAsia="zh-CN"/>
              </w:rPr>
              <w:t>竞投保证金递交凭证的原件或者复印件加盖单位公章。</w:t>
            </w:r>
          </w:p>
          <w:p>
            <w:pPr>
              <w:pStyle w:val="2"/>
              <w:rPr>
                <w:rFonts w:hint="eastAsia"/>
                <w:color w:val="auto"/>
                <w:sz w:val="24"/>
                <w:szCs w:val="32"/>
                <w:highlight w:val="none"/>
                <w:lang w:val="en-US" w:eastAsia="zh-CN"/>
              </w:rPr>
            </w:pPr>
            <w:r>
              <w:rPr>
                <w:rFonts w:hint="eastAsia"/>
                <w:color w:val="auto"/>
                <w:sz w:val="24"/>
                <w:szCs w:val="32"/>
                <w:highlight w:val="none"/>
                <w:lang w:val="en-US" w:eastAsia="zh-CN"/>
              </w:rPr>
              <w:t>如为自然人：（本项目不适用）</w:t>
            </w:r>
          </w:p>
          <w:p>
            <w:pPr>
              <w:numPr>
                <w:ilvl w:val="0"/>
                <w:numId w:val="19"/>
              </w:numPr>
              <w:tabs>
                <w:tab w:val="left" w:pos="432"/>
              </w:tabs>
              <w:spacing w:line="300" w:lineRule="auto"/>
              <w:ind w:left="425" w:leftChars="0" w:hanging="425" w:firstLineChars="0"/>
              <w:rPr>
                <w:rFonts w:hint="default"/>
                <w:color w:val="auto"/>
                <w:sz w:val="24"/>
                <w:szCs w:val="32"/>
                <w:highlight w:val="none"/>
                <w:lang w:val="en-US"/>
              </w:rPr>
            </w:pPr>
            <w:r>
              <w:rPr>
                <w:rFonts w:hint="eastAsia" w:eastAsia="宋体"/>
                <w:color w:val="auto"/>
                <w:sz w:val="24"/>
                <w:szCs w:val="32"/>
                <w:highlight w:val="none"/>
                <w:lang w:val="en-US" w:eastAsia="zh-CN"/>
              </w:rPr>
              <w:t>自然人</w:t>
            </w:r>
            <w:r>
              <w:rPr>
                <w:rFonts w:hint="eastAsia"/>
                <w:color w:val="auto"/>
                <w:sz w:val="24"/>
                <w:szCs w:val="32"/>
                <w:highlight w:val="none"/>
                <w:lang w:val="zh-CN" w:eastAsia="zh-CN"/>
              </w:rPr>
              <w:t>身份证原件；</w:t>
            </w:r>
          </w:p>
          <w:p>
            <w:pPr>
              <w:numPr>
                <w:ilvl w:val="0"/>
                <w:numId w:val="19"/>
              </w:numPr>
              <w:tabs>
                <w:tab w:val="left" w:pos="432"/>
              </w:tabs>
              <w:spacing w:line="300" w:lineRule="auto"/>
              <w:ind w:left="425" w:leftChars="0" w:hanging="425" w:firstLineChars="0"/>
              <w:rPr>
                <w:rFonts w:hint="eastAsia"/>
                <w:color w:val="auto"/>
                <w:highlight w:val="none"/>
              </w:rPr>
            </w:pPr>
            <w:r>
              <w:rPr>
                <w:rFonts w:hint="eastAsia"/>
                <w:color w:val="auto"/>
                <w:sz w:val="24"/>
                <w:szCs w:val="32"/>
                <w:highlight w:val="none"/>
                <w:lang w:val="zh-CN" w:eastAsia="zh-CN"/>
              </w:rPr>
              <w:t>竞投保证金递交凭证的原件</w:t>
            </w:r>
            <w:r>
              <w:rPr>
                <w:rFonts w:hint="eastAsia"/>
                <w:color w:val="auto"/>
                <w:sz w:val="24"/>
                <w:szCs w:val="32"/>
                <w:highlight w:val="none"/>
                <w:lang w:val="en-US" w:eastAsia="zh-CN"/>
              </w:rPr>
              <w:t>或复印件</w:t>
            </w:r>
            <w:r>
              <w:rPr>
                <w:rFonts w:hint="eastAsia"/>
                <w:color w:val="auto"/>
                <w:sz w:val="24"/>
                <w:szCs w:val="32"/>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noWrap w:val="0"/>
            <w:vAlign w:val="center"/>
          </w:tcPr>
          <w:p>
            <w:pPr>
              <w:numPr>
                <w:ilvl w:val="0"/>
                <w:numId w:val="16"/>
              </w:numPr>
              <w:tabs>
                <w:tab w:val="left" w:pos="252"/>
                <w:tab w:val="clear" w:pos="420"/>
              </w:tabs>
              <w:ind w:right="-107" w:rightChars="-51"/>
              <w:jc w:val="center"/>
              <w:rPr>
                <w:rFonts w:hint="eastAsia" w:asciiTheme="minorEastAsia" w:hAnsiTheme="minorEastAsia" w:eastAsiaTheme="minorEastAsia" w:cstheme="minorEastAsia"/>
                <w:color w:val="auto"/>
                <w:sz w:val="24"/>
                <w:szCs w:val="24"/>
                <w:highlight w:val="none"/>
              </w:rPr>
            </w:pPr>
          </w:p>
        </w:tc>
        <w:tc>
          <w:tcPr>
            <w:tcW w:w="1849"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资格审查</w:t>
            </w:r>
            <w:r>
              <w:rPr>
                <w:rFonts w:hint="eastAsia" w:asciiTheme="minorEastAsia" w:hAnsiTheme="minorEastAsia" w:eastAsiaTheme="minorEastAsia" w:cstheme="minorEastAsia"/>
                <w:color w:val="auto"/>
                <w:sz w:val="24"/>
                <w:szCs w:val="24"/>
                <w:highlight w:val="none"/>
              </w:rPr>
              <w:t>文件递交数量</w:t>
            </w:r>
          </w:p>
        </w:tc>
        <w:tc>
          <w:tcPr>
            <w:tcW w:w="7194" w:type="dxa"/>
            <w:noWrap w:val="0"/>
            <w:vAlign w:val="center"/>
          </w:tcPr>
          <w:p>
            <w:pPr>
              <w:spacing w:after="72" w:afterLines="30" w:line="30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u w:val="single"/>
                <w:lang w:val="en-GB"/>
              </w:rPr>
              <w:t>1份</w:t>
            </w:r>
            <w:r>
              <w:rPr>
                <w:rFonts w:hint="eastAsia" w:asciiTheme="minorEastAsia" w:hAnsiTheme="minorEastAsia" w:eastAsiaTheme="minorEastAsia" w:cstheme="minorEastAsia"/>
                <w:b/>
                <w:color w:val="auto"/>
                <w:sz w:val="24"/>
                <w:szCs w:val="24"/>
                <w:highlight w:val="none"/>
                <w:lang w:val="en-GB"/>
              </w:rPr>
              <w:t>正本、</w:t>
            </w:r>
            <w:r>
              <w:rPr>
                <w:rFonts w:hint="eastAsia" w:asciiTheme="minorEastAsia" w:hAnsiTheme="minorEastAsia" w:eastAsiaTheme="minorEastAsia" w:cstheme="minorEastAsia"/>
                <w:b/>
                <w:color w:val="auto"/>
                <w:sz w:val="24"/>
                <w:szCs w:val="24"/>
                <w:highlight w:val="none"/>
                <w:u w:val="single"/>
                <w:lang w:val="en-US" w:eastAsia="zh-CN"/>
              </w:rPr>
              <w:t>3</w:t>
            </w:r>
            <w:r>
              <w:rPr>
                <w:rFonts w:hint="eastAsia" w:asciiTheme="minorEastAsia" w:hAnsiTheme="minorEastAsia" w:eastAsiaTheme="minorEastAsia" w:cstheme="minorEastAsia"/>
                <w:b/>
                <w:color w:val="auto"/>
                <w:sz w:val="24"/>
                <w:szCs w:val="24"/>
                <w:highlight w:val="none"/>
                <w:u w:val="single"/>
                <w:lang w:val="en-GB"/>
              </w:rPr>
              <w:t>份</w:t>
            </w:r>
            <w:r>
              <w:rPr>
                <w:rFonts w:hint="eastAsia" w:asciiTheme="minorEastAsia" w:hAnsiTheme="minorEastAsia" w:eastAsiaTheme="minorEastAsia" w:cstheme="minorEastAsia"/>
                <w:b/>
                <w:color w:val="auto"/>
                <w:sz w:val="24"/>
                <w:szCs w:val="24"/>
                <w:highlight w:val="none"/>
                <w:lang w:val="en-GB"/>
              </w:rPr>
              <w:t>副本和</w:t>
            </w:r>
            <w:r>
              <w:rPr>
                <w:rFonts w:hint="eastAsia" w:asciiTheme="minorEastAsia" w:hAnsiTheme="minorEastAsia" w:eastAsiaTheme="minorEastAsia" w:cstheme="minorEastAsia"/>
                <w:b/>
                <w:color w:val="auto"/>
                <w:sz w:val="24"/>
                <w:szCs w:val="24"/>
                <w:highlight w:val="none"/>
                <w:u w:val="single"/>
              </w:rPr>
              <w:t>2份</w:t>
            </w:r>
            <w:r>
              <w:rPr>
                <w:rFonts w:hint="eastAsia" w:asciiTheme="minorEastAsia" w:hAnsiTheme="minorEastAsia" w:eastAsiaTheme="minorEastAsia" w:cstheme="minorEastAsia"/>
                <w:b/>
                <w:color w:val="auto"/>
                <w:sz w:val="24"/>
                <w:szCs w:val="24"/>
                <w:highlight w:val="none"/>
              </w:rPr>
              <w:t>电子光盘</w:t>
            </w:r>
          </w:p>
          <w:p>
            <w:pPr>
              <w:rPr>
                <w:rFonts w:hint="eastAsia" w:asciiTheme="minorEastAsia" w:hAnsiTheme="minorEastAsia" w:eastAsiaTheme="minorEastAsia" w:cstheme="minorEastAsia"/>
                <w:b/>
                <w:color w:val="auto"/>
                <w:sz w:val="24"/>
                <w:szCs w:val="24"/>
                <w:highlight w:val="none"/>
                <w:lang w:val="en-GB"/>
              </w:rPr>
            </w:pPr>
            <w:r>
              <w:rPr>
                <w:rFonts w:hint="eastAsia" w:asciiTheme="minorEastAsia" w:hAnsiTheme="minorEastAsia" w:eastAsiaTheme="minorEastAsia" w:cstheme="minorEastAsia"/>
                <w:b/>
                <w:color w:val="auto"/>
                <w:sz w:val="24"/>
                <w:szCs w:val="24"/>
                <w:highlight w:val="none"/>
                <w:lang w:val="en-GB"/>
              </w:rPr>
              <w:t>说明：</w:t>
            </w:r>
          </w:p>
          <w:p>
            <w:pPr>
              <w:numPr>
                <w:ilvl w:val="0"/>
                <w:numId w:val="20"/>
              </w:numPr>
              <w:ind w:left="0" w:leftChars="0" w:firstLine="0" w:firstLineChars="0"/>
              <w:rPr>
                <w:rFonts w:hint="eastAsia" w:asciiTheme="minorEastAsia" w:hAnsiTheme="minorEastAsia" w:eastAsiaTheme="minorEastAsia" w:cstheme="minorEastAsia"/>
                <w:b/>
                <w:color w:val="auto"/>
                <w:sz w:val="24"/>
                <w:szCs w:val="24"/>
                <w:highlight w:val="none"/>
                <w:lang w:val="en-GB"/>
              </w:rPr>
            </w:pPr>
            <w:r>
              <w:rPr>
                <w:rFonts w:hint="eastAsia" w:asciiTheme="minorEastAsia" w:hAnsiTheme="minorEastAsia" w:eastAsiaTheme="minorEastAsia" w:cstheme="minorEastAsia"/>
                <w:b/>
                <w:color w:val="auto"/>
                <w:sz w:val="24"/>
                <w:szCs w:val="24"/>
                <w:highlight w:val="none"/>
                <w:lang w:val="en-GB"/>
              </w:rPr>
              <w:t>资格审查文件的正本、副本、电子光盘，均应密封在同一密封包中。若上述资料确实无法密封在同一密封包中，则可按实际情况分开密封，但须在密封包装上标明密封内容。</w:t>
            </w:r>
          </w:p>
          <w:p>
            <w:pPr>
              <w:numPr>
                <w:ilvl w:val="0"/>
                <w:numId w:val="20"/>
              </w:numPr>
              <w:ind w:left="0" w:leftChars="0" w:firstLine="0" w:firstLineChars="0"/>
              <w:rPr>
                <w:rFonts w:hint="eastAsia" w:asciiTheme="minorEastAsia" w:hAnsiTheme="minorEastAsia" w:eastAsiaTheme="minorEastAsia" w:cstheme="minorEastAsia"/>
                <w:b/>
                <w:color w:val="auto"/>
                <w:sz w:val="24"/>
                <w:szCs w:val="24"/>
                <w:highlight w:val="none"/>
                <w:lang w:val="en-GB"/>
              </w:rPr>
            </w:pPr>
            <w:r>
              <w:rPr>
                <w:rFonts w:hint="eastAsia" w:asciiTheme="minorEastAsia" w:hAnsiTheme="minorEastAsia" w:eastAsiaTheme="minorEastAsia" w:cstheme="minorEastAsia"/>
                <w:b/>
                <w:color w:val="auto"/>
                <w:sz w:val="24"/>
                <w:szCs w:val="24"/>
                <w:highlight w:val="none"/>
                <w:lang w:val="en-GB"/>
              </w:rPr>
              <w:t>电子光盘内容：</w:t>
            </w:r>
            <w:r>
              <w:rPr>
                <w:rFonts w:hint="eastAsia" w:asciiTheme="minorEastAsia" w:hAnsiTheme="minorEastAsia" w:eastAsiaTheme="minorEastAsia" w:cstheme="minorEastAsia"/>
                <w:b/>
                <w:color w:val="auto"/>
                <w:sz w:val="24"/>
                <w:szCs w:val="24"/>
                <w:highlight w:val="none"/>
                <w:lang w:val="en-GB" w:eastAsia="zh-CN"/>
              </w:rPr>
              <w:t>竞投</w:t>
            </w:r>
            <w:r>
              <w:rPr>
                <w:rFonts w:hint="eastAsia" w:asciiTheme="minorEastAsia" w:hAnsiTheme="minorEastAsia" w:eastAsiaTheme="minorEastAsia" w:cstheme="minorEastAsia"/>
                <w:b/>
                <w:color w:val="auto"/>
                <w:sz w:val="24"/>
                <w:szCs w:val="24"/>
                <w:highlight w:val="none"/>
                <w:lang w:val="en-GB"/>
              </w:rPr>
              <w:t>文件正本的所有内容，WORD版可编辑文档格式。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09" w:type="dxa"/>
            <w:noWrap w:val="0"/>
            <w:vAlign w:val="center"/>
          </w:tcPr>
          <w:p>
            <w:pPr>
              <w:numPr>
                <w:ilvl w:val="0"/>
                <w:numId w:val="16"/>
              </w:numPr>
              <w:tabs>
                <w:tab w:val="left" w:pos="252"/>
                <w:tab w:val="clear" w:pos="420"/>
              </w:tabs>
              <w:ind w:right="-107" w:rightChars="-51"/>
              <w:jc w:val="center"/>
              <w:rPr>
                <w:rFonts w:hint="eastAsia" w:asciiTheme="minorEastAsia" w:hAnsiTheme="minorEastAsia" w:eastAsiaTheme="minorEastAsia" w:cstheme="minorEastAsia"/>
                <w:color w:val="auto"/>
                <w:sz w:val="24"/>
                <w:szCs w:val="24"/>
                <w:highlight w:val="none"/>
              </w:rPr>
            </w:pPr>
          </w:p>
        </w:tc>
        <w:tc>
          <w:tcPr>
            <w:tcW w:w="1849"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资格审查文件的制作要求及密封要求</w:t>
            </w:r>
          </w:p>
        </w:tc>
        <w:tc>
          <w:tcPr>
            <w:tcW w:w="7194" w:type="dxa"/>
            <w:noWrap w:val="0"/>
            <w:vAlign w:val="center"/>
          </w:tcPr>
          <w:p>
            <w:pPr>
              <w:numPr>
                <w:ilvl w:val="0"/>
                <w:numId w:val="21"/>
              </w:numPr>
              <w:spacing w:line="300" w:lineRule="auto"/>
              <w:ind w:left="425" w:leftChars="0" w:hanging="425" w:firstLineChars="0"/>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val="en-GB"/>
              </w:rPr>
              <w:t>《资格审查文件》装订为一册。</w:t>
            </w:r>
          </w:p>
          <w:p>
            <w:pPr>
              <w:numPr>
                <w:ilvl w:val="0"/>
                <w:numId w:val="21"/>
              </w:numPr>
              <w:spacing w:line="300" w:lineRule="auto"/>
              <w:ind w:left="425" w:leftChars="0" w:hanging="425" w:firstLineChars="0"/>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val="en-GB"/>
              </w:rPr>
              <w:t>《资格审查文件》【正本】和【副本】的封面须加盖</w:t>
            </w:r>
            <w:r>
              <w:rPr>
                <w:rFonts w:hint="eastAsia" w:asciiTheme="minorEastAsia" w:hAnsiTheme="minorEastAsia" w:eastAsiaTheme="minorEastAsia" w:cstheme="minorEastAsia"/>
                <w:color w:val="auto"/>
                <w:sz w:val="24"/>
                <w:szCs w:val="24"/>
                <w:highlight w:val="none"/>
                <w:lang w:val="en-GB" w:eastAsia="zh-CN"/>
              </w:rPr>
              <w:t>投标人</w:t>
            </w:r>
            <w:r>
              <w:rPr>
                <w:rFonts w:hint="eastAsia" w:asciiTheme="minorEastAsia" w:hAnsiTheme="minorEastAsia" w:eastAsiaTheme="minorEastAsia" w:cstheme="minorEastAsia"/>
                <w:color w:val="auto"/>
                <w:sz w:val="24"/>
                <w:szCs w:val="24"/>
                <w:highlight w:val="none"/>
                <w:lang w:val="en-GB"/>
              </w:rPr>
              <w:t>公章，【副本】可为【正本】的复印件。</w:t>
            </w:r>
          </w:p>
          <w:p>
            <w:pPr>
              <w:numPr>
                <w:ilvl w:val="0"/>
                <w:numId w:val="21"/>
              </w:numPr>
              <w:spacing w:line="300" w:lineRule="auto"/>
              <w:ind w:left="425" w:leftChars="0" w:hanging="425" w:firstLineChars="0"/>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val="en-GB"/>
              </w:rPr>
              <w:t>资格审查文件的【正本】、【副本】、【电子光盘】，均应密封在同一密封包中。若上述资料确实无法密封在同一密封包中，则可按实际情况分开密封，但须在密封包装上标明密封内容。</w:t>
            </w:r>
          </w:p>
          <w:p>
            <w:pPr>
              <w:numPr>
                <w:ilvl w:val="0"/>
                <w:numId w:val="21"/>
              </w:numPr>
              <w:spacing w:line="300" w:lineRule="auto"/>
              <w:ind w:left="425" w:leftChars="0" w:hanging="425" w:firstLineChars="0"/>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val="en-GB"/>
              </w:rPr>
              <w:t>电子光盘内容：</w:t>
            </w:r>
            <w:r>
              <w:rPr>
                <w:rFonts w:hint="eastAsia" w:asciiTheme="minorEastAsia" w:hAnsiTheme="minorEastAsia" w:eastAsiaTheme="minorEastAsia" w:cstheme="minorEastAsia"/>
                <w:color w:val="auto"/>
                <w:sz w:val="24"/>
                <w:szCs w:val="24"/>
                <w:highlight w:val="none"/>
                <w:lang w:val="en-GB" w:eastAsia="zh-CN"/>
              </w:rPr>
              <w:t>竞投</w:t>
            </w:r>
            <w:r>
              <w:rPr>
                <w:rFonts w:hint="eastAsia" w:asciiTheme="minorEastAsia" w:hAnsiTheme="minorEastAsia" w:eastAsiaTheme="minorEastAsia" w:cstheme="minorEastAsia"/>
                <w:color w:val="auto"/>
                <w:sz w:val="24"/>
                <w:szCs w:val="24"/>
                <w:highlight w:val="none"/>
                <w:lang w:val="en-GB"/>
              </w:rPr>
              <w:t>文件正本的所有内容，WORD版可编辑文档格式。</w:t>
            </w:r>
          </w:p>
          <w:p>
            <w:pPr>
              <w:numPr>
                <w:ilvl w:val="0"/>
                <w:numId w:val="21"/>
              </w:numPr>
              <w:spacing w:line="300" w:lineRule="auto"/>
              <w:ind w:left="425" w:leftChars="0" w:hanging="425" w:firstLineChars="0"/>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val="en-GB"/>
              </w:rPr>
              <w:t>密封各文件资料时，应在密封包装的封口处加盖</w:t>
            </w:r>
            <w:r>
              <w:rPr>
                <w:rFonts w:hint="eastAsia" w:asciiTheme="minorEastAsia" w:hAnsiTheme="minorEastAsia" w:eastAsiaTheme="minorEastAsia" w:cstheme="minorEastAsia"/>
                <w:color w:val="auto"/>
                <w:sz w:val="24"/>
                <w:szCs w:val="24"/>
                <w:highlight w:val="none"/>
                <w:lang w:val="en-GB" w:eastAsia="zh-CN"/>
              </w:rPr>
              <w:t>投标人</w:t>
            </w:r>
            <w:r>
              <w:rPr>
                <w:rFonts w:hint="eastAsia" w:asciiTheme="minorEastAsia" w:hAnsiTheme="minorEastAsia" w:eastAsiaTheme="minorEastAsia" w:cstheme="minorEastAsia"/>
                <w:color w:val="auto"/>
                <w:sz w:val="24"/>
                <w:szCs w:val="24"/>
                <w:highlight w:val="none"/>
                <w:lang w:val="en-GB"/>
              </w:rPr>
              <w:t>公章。所有密封文件封套正面统一按“文件包装袋封面”格式填写标贴。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09" w:type="dxa"/>
            <w:noWrap w:val="0"/>
            <w:vAlign w:val="center"/>
          </w:tcPr>
          <w:p>
            <w:pPr>
              <w:numPr>
                <w:ilvl w:val="0"/>
                <w:numId w:val="16"/>
              </w:numPr>
              <w:tabs>
                <w:tab w:val="left" w:pos="252"/>
                <w:tab w:val="clear" w:pos="420"/>
              </w:tabs>
              <w:ind w:right="-107" w:rightChars="-51"/>
              <w:jc w:val="center"/>
              <w:rPr>
                <w:rFonts w:hint="eastAsia" w:asciiTheme="minorEastAsia" w:hAnsiTheme="minorEastAsia" w:eastAsiaTheme="minorEastAsia" w:cstheme="minorEastAsia"/>
                <w:color w:val="auto"/>
                <w:sz w:val="24"/>
                <w:szCs w:val="24"/>
                <w:highlight w:val="none"/>
              </w:rPr>
            </w:pPr>
          </w:p>
        </w:tc>
        <w:tc>
          <w:tcPr>
            <w:tcW w:w="1849"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资格审查文件有效期</w:t>
            </w:r>
          </w:p>
        </w:tc>
        <w:tc>
          <w:tcPr>
            <w:tcW w:w="7194" w:type="dxa"/>
            <w:noWrap w:val="0"/>
            <w:vAlign w:val="center"/>
          </w:tcPr>
          <w:p>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递交资格审查文件截止日起</w:t>
            </w:r>
            <w:r>
              <w:rPr>
                <w:rFonts w:hint="eastAsia" w:asciiTheme="minorEastAsia" w:hAnsiTheme="minorEastAsia" w:eastAsiaTheme="minorEastAsia" w:cstheme="minorEastAsia"/>
                <w:color w:val="auto"/>
                <w:sz w:val="24"/>
                <w:szCs w:val="24"/>
                <w:highlight w:val="none"/>
                <w:lang w:val="en-US" w:eastAsia="zh-CN"/>
              </w:rPr>
              <w:t>60</w:t>
            </w:r>
            <w:r>
              <w:rPr>
                <w:rFonts w:hint="eastAsia" w:asciiTheme="minorEastAsia" w:hAnsiTheme="minorEastAsia" w:eastAsiaTheme="minorEastAsia" w:cstheme="minorEastAsia"/>
                <w:color w:val="auto"/>
                <w:sz w:val="24"/>
                <w:szCs w:val="24"/>
                <w:highlight w:val="none"/>
              </w:rPr>
              <w:t>天内有效，中标单位的有效期延续到项目验收之日。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09" w:type="dxa"/>
            <w:noWrap w:val="0"/>
            <w:vAlign w:val="center"/>
          </w:tcPr>
          <w:p>
            <w:pPr>
              <w:numPr>
                <w:ilvl w:val="0"/>
                <w:numId w:val="16"/>
              </w:numPr>
              <w:tabs>
                <w:tab w:val="left" w:pos="252"/>
                <w:tab w:val="clear" w:pos="420"/>
              </w:tabs>
              <w:ind w:right="-107" w:rightChars="-51"/>
              <w:jc w:val="center"/>
              <w:rPr>
                <w:rFonts w:hint="eastAsia" w:asciiTheme="minorEastAsia" w:hAnsiTheme="minorEastAsia" w:eastAsiaTheme="minorEastAsia" w:cstheme="minorEastAsia"/>
                <w:color w:val="auto"/>
                <w:sz w:val="24"/>
                <w:szCs w:val="24"/>
                <w:highlight w:val="none"/>
              </w:rPr>
            </w:pPr>
          </w:p>
        </w:tc>
        <w:tc>
          <w:tcPr>
            <w:tcW w:w="1849"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定标</w:t>
            </w:r>
            <w:r>
              <w:rPr>
                <w:rFonts w:hint="eastAsia" w:asciiTheme="minorEastAsia" w:hAnsiTheme="minorEastAsia" w:eastAsiaTheme="minorEastAsia" w:cstheme="minorEastAsia"/>
                <w:color w:val="auto"/>
                <w:sz w:val="24"/>
                <w:szCs w:val="24"/>
                <w:highlight w:val="none"/>
              </w:rPr>
              <w:t>方法</w:t>
            </w:r>
          </w:p>
        </w:tc>
        <w:tc>
          <w:tcPr>
            <w:tcW w:w="7194" w:type="dxa"/>
            <w:noWrap w:val="0"/>
            <w:vAlign w:val="center"/>
          </w:tcPr>
          <w:p>
            <w:pPr>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eastAsia="zh-CN"/>
              </w:rPr>
              <w:t>采用一次性报价的暗标方式，价高者得的原则确定中标人。投标人</w:t>
            </w:r>
            <w:r>
              <w:rPr>
                <w:rFonts w:hint="eastAsia" w:asciiTheme="minorEastAsia" w:hAnsiTheme="minorEastAsia" w:eastAsiaTheme="minorEastAsia" w:cstheme="minorEastAsia"/>
                <w:b/>
                <w:bCs/>
                <w:color w:val="auto"/>
                <w:kern w:val="0"/>
                <w:sz w:val="24"/>
                <w:szCs w:val="24"/>
                <w:highlight w:val="none"/>
              </w:rPr>
              <w:t>所报价格为</w:t>
            </w:r>
            <w:r>
              <w:rPr>
                <w:rFonts w:hint="eastAsia" w:asciiTheme="minorEastAsia" w:hAnsiTheme="minorEastAsia" w:eastAsiaTheme="minorEastAsia" w:cstheme="minorEastAsia"/>
                <w:b/>
                <w:bCs/>
                <w:color w:val="auto"/>
                <w:kern w:val="0"/>
                <w:sz w:val="24"/>
                <w:szCs w:val="24"/>
                <w:highlight w:val="none"/>
                <w:lang w:eastAsia="zh-CN"/>
              </w:rPr>
              <w:t>向招标人支付管理费用</w:t>
            </w:r>
            <w:r>
              <w:rPr>
                <w:rFonts w:hint="eastAsia" w:asciiTheme="minorEastAsia" w:hAnsiTheme="minorEastAsia" w:eastAsiaTheme="minorEastAsia" w:cstheme="minorEastAsia"/>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09" w:type="dxa"/>
            <w:noWrap w:val="0"/>
            <w:vAlign w:val="center"/>
          </w:tcPr>
          <w:p>
            <w:pPr>
              <w:numPr>
                <w:ilvl w:val="0"/>
                <w:numId w:val="16"/>
              </w:numPr>
              <w:tabs>
                <w:tab w:val="left" w:pos="252"/>
                <w:tab w:val="clear" w:pos="420"/>
              </w:tabs>
              <w:ind w:right="-107" w:rightChars="-51"/>
              <w:jc w:val="center"/>
              <w:rPr>
                <w:rFonts w:hint="eastAsia" w:asciiTheme="minorEastAsia" w:hAnsiTheme="minorEastAsia" w:eastAsiaTheme="minorEastAsia" w:cstheme="minorEastAsia"/>
                <w:color w:val="auto"/>
                <w:sz w:val="24"/>
                <w:szCs w:val="24"/>
                <w:highlight w:val="none"/>
              </w:rPr>
            </w:pPr>
          </w:p>
        </w:tc>
        <w:tc>
          <w:tcPr>
            <w:tcW w:w="1849" w:type="dxa"/>
            <w:noWrap w:val="0"/>
            <w:vAlign w:val="center"/>
          </w:tcPr>
          <w:p>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中标服务费</w:t>
            </w:r>
          </w:p>
        </w:tc>
        <w:tc>
          <w:tcPr>
            <w:tcW w:w="7194" w:type="dxa"/>
            <w:noWrap w:val="0"/>
            <w:vAlign w:val="center"/>
          </w:tcPr>
          <w:p>
            <w:pPr>
              <w:numPr>
                <w:ilvl w:val="0"/>
                <w:numId w:val="22"/>
              </w:numPr>
              <w:spacing w:line="30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中标人</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rPr>
              <w:t>通知书》发出后三个工作日内一次性向</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支付</w:t>
            </w:r>
            <w:r>
              <w:rPr>
                <w:rFonts w:hint="eastAsia" w:asciiTheme="minorEastAsia" w:hAnsiTheme="minorEastAsia" w:eastAsiaTheme="minorEastAsia" w:cstheme="minorEastAsia"/>
                <w:color w:val="auto"/>
                <w:sz w:val="24"/>
                <w:szCs w:val="24"/>
                <w:highlight w:val="none"/>
                <w:lang w:val="en-GB"/>
              </w:rPr>
              <w:t>中标</w:t>
            </w:r>
            <w:r>
              <w:rPr>
                <w:rFonts w:hint="eastAsia" w:asciiTheme="minorEastAsia" w:hAnsiTheme="minorEastAsia" w:eastAsiaTheme="minorEastAsia" w:cstheme="minorEastAsia"/>
                <w:color w:val="auto"/>
                <w:sz w:val="24"/>
                <w:szCs w:val="24"/>
                <w:highlight w:val="none"/>
              </w:rPr>
              <w:t>服务费</w:t>
            </w:r>
            <w:r>
              <w:rPr>
                <w:rFonts w:hint="eastAsia" w:asciiTheme="minorEastAsia" w:hAnsiTheme="minorEastAsia" w:eastAsiaTheme="minorEastAsia" w:cstheme="minorEastAsia"/>
                <w:color w:val="auto"/>
                <w:sz w:val="24"/>
                <w:szCs w:val="24"/>
                <w:highlight w:val="none"/>
                <w:lang w:eastAsia="zh-CN"/>
              </w:rPr>
              <w:t>。</w:t>
            </w:r>
          </w:p>
          <w:p>
            <w:pPr>
              <w:numPr>
                <w:ilvl w:val="0"/>
                <w:numId w:val="22"/>
              </w:numPr>
              <w:spacing w:line="30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GB"/>
              </w:rPr>
              <w:t>中标</w:t>
            </w:r>
            <w:r>
              <w:rPr>
                <w:rFonts w:hint="eastAsia" w:asciiTheme="minorEastAsia" w:hAnsiTheme="minorEastAsia" w:eastAsiaTheme="minorEastAsia" w:cstheme="minorEastAsia"/>
                <w:color w:val="auto"/>
                <w:sz w:val="24"/>
                <w:szCs w:val="24"/>
                <w:highlight w:val="none"/>
              </w:rPr>
              <w:t>服务费</w:t>
            </w:r>
            <w:r>
              <w:rPr>
                <w:rFonts w:hint="eastAsia" w:asciiTheme="minorEastAsia" w:hAnsiTheme="minorEastAsia" w:eastAsiaTheme="minorEastAsia" w:cstheme="minorEastAsia"/>
                <w:color w:val="auto"/>
                <w:sz w:val="24"/>
                <w:szCs w:val="24"/>
                <w:highlight w:val="none"/>
                <w:lang w:val="en-US" w:eastAsia="zh-CN"/>
              </w:rPr>
              <w:t>定额收取5000元。</w:t>
            </w:r>
          </w:p>
          <w:p>
            <w:pPr>
              <w:numPr>
                <w:ilvl w:val="0"/>
                <w:numId w:val="22"/>
              </w:numPr>
              <w:spacing w:line="300" w:lineRule="auto"/>
              <w:ind w:left="425" w:leftChars="0" w:hanging="425"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GB"/>
              </w:rPr>
              <w:t>支付</w:t>
            </w:r>
            <w:r>
              <w:rPr>
                <w:rFonts w:hint="eastAsia" w:asciiTheme="minorEastAsia" w:hAnsiTheme="minorEastAsia" w:eastAsiaTheme="minorEastAsia" w:cstheme="minorEastAsia"/>
                <w:color w:val="auto"/>
                <w:sz w:val="24"/>
                <w:szCs w:val="24"/>
                <w:highlight w:val="none"/>
              </w:rPr>
              <w:t>中标服务费银行账户信息如下：</w:t>
            </w:r>
          </w:p>
          <w:p>
            <w:pPr>
              <w:pStyle w:val="33"/>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开户名称：</w:t>
            </w:r>
            <w:r>
              <w:rPr>
                <w:rFonts w:hint="eastAsia" w:asciiTheme="minorEastAsia" w:hAnsiTheme="minorEastAsia" w:eastAsiaTheme="minorEastAsia" w:cstheme="minorEastAsia"/>
                <w:color w:val="auto"/>
                <w:sz w:val="24"/>
                <w:szCs w:val="24"/>
                <w:highlight w:val="none"/>
                <w:lang w:eastAsia="zh-CN"/>
              </w:rPr>
              <w:t>广东中采招标有限公司</w:t>
            </w:r>
          </w:p>
          <w:p>
            <w:pPr>
              <w:pStyle w:val="33"/>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开户行名称：兴业银行股份有限公司佛山分行</w:t>
            </w:r>
          </w:p>
          <w:p>
            <w:pPr>
              <w:pStyle w:val="33"/>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银行账号：392060100100155323</w:t>
            </w:r>
          </w:p>
          <w:p>
            <w:pPr>
              <w:numPr>
                <w:ilvl w:val="0"/>
                <w:numId w:val="22"/>
              </w:numPr>
              <w:spacing w:line="300" w:lineRule="auto"/>
              <w:ind w:left="425" w:leftChars="0" w:hanging="425" w:firstLineChars="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在办理转账时，请在转账摘要上注明“</w:t>
            </w:r>
            <w:r>
              <w:rPr>
                <w:rFonts w:hint="eastAsia" w:asciiTheme="minorEastAsia" w:hAnsiTheme="minorEastAsia" w:eastAsiaTheme="minorEastAsia" w:cstheme="minorEastAsia"/>
                <w:color w:val="auto"/>
                <w:sz w:val="24"/>
                <w:highlight w:val="none"/>
                <w:u w:val="single"/>
              </w:rPr>
              <w:t>吉利竹甫村</w:t>
            </w:r>
            <w:r>
              <w:rPr>
                <w:rFonts w:hint="eastAsia" w:asciiTheme="minorEastAsia" w:hAnsiTheme="minorEastAsia" w:eastAsiaTheme="minorEastAsia" w:cstheme="minorEastAsia"/>
                <w:color w:val="auto"/>
                <w:sz w:val="24"/>
                <w:szCs w:val="24"/>
                <w:highlight w:val="none"/>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9" w:type="dxa"/>
            <w:noWrap w:val="0"/>
            <w:vAlign w:val="center"/>
          </w:tcPr>
          <w:p>
            <w:pPr>
              <w:numPr>
                <w:ilvl w:val="0"/>
                <w:numId w:val="16"/>
              </w:numPr>
              <w:tabs>
                <w:tab w:val="left" w:pos="252"/>
                <w:tab w:val="clear" w:pos="420"/>
              </w:tabs>
              <w:ind w:right="-107" w:rightChars="-51"/>
              <w:jc w:val="center"/>
              <w:rPr>
                <w:rFonts w:hint="eastAsia" w:asciiTheme="minorEastAsia" w:hAnsiTheme="minorEastAsia" w:eastAsiaTheme="minorEastAsia" w:cstheme="minorEastAsia"/>
                <w:color w:val="auto"/>
                <w:sz w:val="24"/>
                <w:szCs w:val="24"/>
                <w:highlight w:val="none"/>
              </w:rPr>
            </w:pPr>
          </w:p>
        </w:tc>
        <w:tc>
          <w:tcPr>
            <w:tcW w:w="1849"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相关公告发布媒介</w:t>
            </w:r>
          </w:p>
        </w:tc>
        <w:tc>
          <w:tcPr>
            <w:tcW w:w="7194" w:type="dxa"/>
            <w:noWrap w:val="0"/>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佛山市公共资源交易中心禅城分中心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"http://ccggzy.chancheng.gov.cn/"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http://ccggzy.chancheng.gov.cn/</w:t>
            </w:r>
            <w:r>
              <w:rPr>
                <w:rFonts w:hint="eastAsia" w:asciiTheme="minorEastAsia" w:hAnsiTheme="minorEastAsia" w:eastAsiaTheme="minorEastAsia" w:cstheme="minorEastAsia"/>
                <w:color w:val="auto"/>
                <w:sz w:val="24"/>
                <w:szCs w:val="24"/>
                <w:highlight w:val="none"/>
              </w:rPr>
              <w:fldChar w:fldCharType="end"/>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佛山市禅城区</w:t>
            </w:r>
            <w:r>
              <w:rPr>
                <w:rFonts w:hint="eastAsia" w:asciiTheme="minorEastAsia" w:hAnsiTheme="minorEastAsia" w:eastAsiaTheme="minorEastAsia" w:cstheme="minorEastAsia"/>
                <w:color w:val="auto"/>
                <w:sz w:val="24"/>
                <w:szCs w:val="24"/>
                <w:highlight w:val="none"/>
              </w:rPr>
              <w:t>南庄镇政府：</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"http://www.chancheng.gov.cn/nanzhuang/" </w:instrText>
            </w:r>
            <w:r>
              <w:rPr>
                <w:rFonts w:hint="eastAsia" w:asciiTheme="minorEastAsia" w:hAnsiTheme="minorEastAsia" w:eastAsiaTheme="minorEastAsia" w:cstheme="minorEastAsia"/>
                <w:color w:val="auto"/>
                <w:sz w:val="24"/>
                <w:szCs w:val="24"/>
                <w:highlight w:val="none"/>
              </w:rPr>
              <w:fldChar w:fldCharType="separate"/>
            </w:r>
            <w:r>
              <w:rPr>
                <w:rStyle w:val="23"/>
                <w:rFonts w:hint="eastAsia" w:asciiTheme="minorEastAsia" w:hAnsiTheme="minorEastAsia" w:eastAsiaTheme="minorEastAsia" w:cstheme="minorEastAsia"/>
                <w:color w:val="auto"/>
                <w:sz w:val="24"/>
                <w:szCs w:val="24"/>
                <w:highlight w:val="none"/>
              </w:rPr>
              <w:t>http://www.chancheng.gov.cn/nanzhuang/</w:t>
            </w:r>
            <w:r>
              <w:rPr>
                <w:rFonts w:hint="eastAsia" w:asciiTheme="minorEastAsia" w:hAnsiTheme="minorEastAsia" w:eastAsiaTheme="minorEastAsia" w:cstheme="minorEastAsia"/>
                <w:color w:val="auto"/>
                <w:sz w:val="24"/>
                <w:szCs w:val="24"/>
                <w:highlight w:val="none"/>
              </w:rPr>
              <w:fldChar w:fldCharType="end"/>
            </w:r>
          </w:p>
          <w:p>
            <w:pPr>
              <w:pStyle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网站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（http://www.gdzczb.com/）</w:t>
            </w:r>
          </w:p>
        </w:tc>
      </w:tr>
    </w:tbl>
    <w:p>
      <w:pPr>
        <w:snapToGrid w:val="0"/>
        <w:ind w:right="-178" w:rightChars="-85"/>
        <w:rPr>
          <w:rFonts w:ascii="宋体"/>
          <w:b/>
          <w:color w:val="auto"/>
          <w:sz w:val="18"/>
          <w:szCs w:val="18"/>
          <w:highlight w:val="none"/>
        </w:rPr>
      </w:pPr>
    </w:p>
    <w:p>
      <w:pPr>
        <w:pStyle w:val="12"/>
        <w:rPr>
          <w:color w:val="auto"/>
          <w:highlight w:val="none"/>
        </w:rPr>
      </w:pPr>
      <w:bookmarkStart w:id="36" w:name="_Toc334432590"/>
    </w:p>
    <w:p>
      <w:pPr>
        <w:pStyle w:val="12"/>
        <w:rPr>
          <w:color w:val="auto"/>
          <w:highlight w:val="none"/>
        </w:rPr>
      </w:pPr>
    </w:p>
    <w:p>
      <w:pPr>
        <w:spacing w:after="72" w:afterLines="30" w:line="336" w:lineRule="auto"/>
        <w:ind w:right="-178" w:rightChars="-85"/>
        <w:jc w:val="center"/>
        <w:outlineLvl w:val="1"/>
        <w:rPr>
          <w:rFonts w:ascii="宋体"/>
          <w:b/>
          <w:color w:val="auto"/>
          <w:sz w:val="28"/>
          <w:szCs w:val="28"/>
          <w:highlight w:val="none"/>
        </w:rPr>
      </w:pPr>
      <w:r>
        <w:rPr>
          <w:rFonts w:ascii="宋体"/>
          <w:b/>
          <w:color w:val="auto"/>
          <w:sz w:val="28"/>
          <w:szCs w:val="28"/>
          <w:highlight w:val="none"/>
        </w:rPr>
        <w:br w:type="page"/>
      </w:r>
      <w:bookmarkStart w:id="37" w:name="_Toc3020"/>
      <w:bookmarkStart w:id="38" w:name="_Toc12687"/>
      <w:bookmarkStart w:id="39" w:name="_Toc3357"/>
      <w:bookmarkStart w:id="40" w:name="_Toc17337"/>
      <w:r>
        <w:rPr>
          <w:rFonts w:hint="eastAsia" w:ascii="宋体" w:hAnsi="宋体"/>
          <w:b/>
          <w:color w:val="auto"/>
          <w:sz w:val="28"/>
          <w:szCs w:val="28"/>
          <w:highlight w:val="none"/>
        </w:rPr>
        <w:t>二、总则及概念释义</w:t>
      </w:r>
      <w:bookmarkEnd w:id="36"/>
      <w:bookmarkEnd w:id="37"/>
      <w:bookmarkEnd w:id="38"/>
      <w:bookmarkEnd w:id="39"/>
      <w:bookmarkEnd w:id="40"/>
    </w:p>
    <w:p>
      <w:pPr>
        <w:numPr>
          <w:ilvl w:val="0"/>
          <w:numId w:val="23"/>
        </w:numPr>
        <w:tabs>
          <w:tab w:val="left" w:pos="540"/>
        </w:tabs>
        <w:spacing w:line="360" w:lineRule="auto"/>
        <w:ind w:left="420" w:leftChars="0" w:hanging="420" w:firstLineChars="0"/>
        <w:rPr>
          <w:rFonts w:ascii="宋体"/>
          <w:color w:val="auto"/>
          <w:sz w:val="24"/>
          <w:highlight w:val="none"/>
        </w:rPr>
      </w:pPr>
      <w:r>
        <w:rPr>
          <w:rFonts w:hint="eastAsia" w:ascii="宋体" w:hAnsi="宋体"/>
          <w:b/>
          <w:color w:val="auto"/>
          <w:sz w:val="24"/>
          <w:highlight w:val="none"/>
        </w:rPr>
        <w:t>招标适用范围：</w:t>
      </w:r>
      <w:r>
        <w:rPr>
          <w:rFonts w:hint="eastAsia" w:ascii="宋体" w:hAnsi="宋体"/>
          <w:color w:val="auto"/>
          <w:sz w:val="24"/>
          <w:highlight w:val="none"/>
        </w:rPr>
        <w:t>本</w:t>
      </w:r>
      <w:r>
        <w:rPr>
          <w:rFonts w:hint="eastAsia" w:ascii="宋体" w:hAnsi="宋体"/>
          <w:color w:val="auto"/>
          <w:sz w:val="24"/>
          <w:highlight w:val="none"/>
          <w:lang w:eastAsia="zh-CN"/>
        </w:rPr>
        <w:t>竞投文件</w:t>
      </w:r>
      <w:r>
        <w:rPr>
          <w:rFonts w:hint="eastAsia" w:ascii="宋体" w:hAnsi="宋体"/>
          <w:color w:val="auto"/>
          <w:sz w:val="24"/>
          <w:highlight w:val="none"/>
        </w:rPr>
        <w:t>仅适用于本次</w:t>
      </w:r>
      <w:r>
        <w:rPr>
          <w:rFonts w:hint="eastAsia" w:ascii="宋体" w:hAnsi="宋体"/>
          <w:color w:val="auto"/>
          <w:sz w:val="24"/>
          <w:highlight w:val="none"/>
          <w:lang w:eastAsia="zh-CN"/>
        </w:rPr>
        <w:t>竞</w:t>
      </w:r>
      <w:r>
        <w:rPr>
          <w:rFonts w:hint="eastAsia" w:ascii="宋体" w:hAnsi="宋体" w:cs="Times New Roman"/>
          <w:color w:val="auto"/>
          <w:sz w:val="24"/>
          <w:highlight w:val="none"/>
          <w:lang w:eastAsia="zh-CN"/>
        </w:rPr>
        <w:t>投公告中所叙述的项目内容及相关伴随服务。本次招标采用公开招标一次性报价暗标竞投的方式，价高者得的原则确定中标人。投标人所报价格为向招标人支付管理费用。</w:t>
      </w:r>
    </w:p>
    <w:p>
      <w:pPr>
        <w:numPr>
          <w:ilvl w:val="0"/>
          <w:numId w:val="23"/>
        </w:numPr>
        <w:tabs>
          <w:tab w:val="left" w:pos="540"/>
        </w:tabs>
        <w:spacing w:before="120" w:beforeLines="50" w:line="360" w:lineRule="auto"/>
        <w:ind w:left="420" w:leftChars="0" w:hanging="420" w:firstLineChars="0"/>
        <w:rPr>
          <w:rFonts w:ascii="宋体"/>
          <w:b/>
          <w:color w:val="auto"/>
          <w:sz w:val="24"/>
          <w:highlight w:val="none"/>
        </w:rPr>
      </w:pPr>
      <w:r>
        <w:rPr>
          <w:rFonts w:hint="eastAsia" w:ascii="宋体" w:hAnsi="宋体"/>
          <w:b/>
          <w:color w:val="auto"/>
          <w:sz w:val="24"/>
          <w:highlight w:val="none"/>
        </w:rPr>
        <w:t>本《</w:t>
      </w:r>
      <w:r>
        <w:rPr>
          <w:rFonts w:hint="eastAsia" w:ascii="宋体" w:hAnsi="宋体"/>
          <w:b/>
          <w:color w:val="auto"/>
          <w:sz w:val="24"/>
          <w:highlight w:val="none"/>
          <w:lang w:eastAsia="zh-CN"/>
        </w:rPr>
        <w:t>竞投文件</w:t>
      </w:r>
      <w:r>
        <w:rPr>
          <w:rFonts w:hint="eastAsia" w:ascii="宋体" w:hAnsi="宋体"/>
          <w:b/>
          <w:color w:val="auto"/>
          <w:sz w:val="24"/>
          <w:highlight w:val="none"/>
        </w:rPr>
        <w:t>》使用的词语有如下定义：</w:t>
      </w:r>
    </w:p>
    <w:p>
      <w:pPr>
        <w:numPr>
          <w:ilvl w:val="0"/>
          <w:numId w:val="0"/>
        </w:numPr>
        <w:tabs>
          <w:tab w:val="left" w:pos="540"/>
        </w:tabs>
        <w:spacing w:line="360" w:lineRule="auto"/>
        <w:ind w:left="480" w:hanging="480" w:hanging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2.1</w:t>
      </w:r>
      <w:r>
        <w:rPr>
          <w:rFonts w:hint="eastAsia" w:asciiTheme="minorEastAsia" w:hAnsiTheme="minorEastAsia" w:eastAsiaTheme="minorEastAsia" w:cstheme="minorEastAsia"/>
          <w:color w:val="auto"/>
          <w:sz w:val="24"/>
          <w:highlight w:val="none"/>
        </w:rPr>
        <w:t>本项目的</w:t>
      </w:r>
      <w:r>
        <w:rPr>
          <w:rFonts w:hint="eastAsia" w:asciiTheme="minorEastAsia" w:hAnsiTheme="minorEastAsia" w:eastAsiaTheme="minorEastAsia" w:cstheme="minorEastAsia"/>
          <w:color w:val="auto"/>
          <w:sz w:val="24"/>
          <w:highlight w:val="none"/>
          <w:lang w:eastAsia="zh-CN"/>
        </w:rPr>
        <w:t>招标人</w:t>
      </w:r>
      <w:r>
        <w:rPr>
          <w:rFonts w:hint="eastAsia" w:asciiTheme="minorEastAsia" w:hAnsiTheme="minorEastAsia" w:eastAsiaTheme="minorEastAsia" w:cstheme="minorEastAsia"/>
          <w:color w:val="auto"/>
          <w:sz w:val="24"/>
          <w:highlight w:val="none"/>
        </w:rPr>
        <w:t>是</w:t>
      </w:r>
      <w:r>
        <w:rPr>
          <w:rFonts w:hint="eastAsia" w:asciiTheme="minorEastAsia" w:hAnsiTheme="minorEastAsia" w:eastAsiaTheme="minorEastAsia" w:cstheme="minorEastAsia"/>
          <w:b/>
          <w:color w:val="auto"/>
          <w:sz w:val="24"/>
          <w:highlight w:val="none"/>
          <w:u w:val="single"/>
          <w:lang w:eastAsia="zh-CN"/>
        </w:rPr>
        <w:t>佛山市禅城区南庄镇吉利村竹甫经济合作社</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GB"/>
        </w:rPr>
        <w:t>他是</w:t>
      </w:r>
      <w:r>
        <w:rPr>
          <w:rFonts w:hint="eastAsia" w:asciiTheme="minorEastAsia" w:hAnsiTheme="minorEastAsia" w:eastAsiaTheme="minorEastAsia" w:cstheme="minorEastAsia"/>
          <w:color w:val="auto"/>
          <w:sz w:val="24"/>
          <w:highlight w:val="none"/>
          <w:lang w:val="en-GB" w:eastAsia="zh-CN"/>
        </w:rPr>
        <w:t>竞投</w:t>
      </w:r>
      <w:r>
        <w:rPr>
          <w:rFonts w:hint="eastAsia" w:asciiTheme="minorEastAsia" w:hAnsiTheme="minorEastAsia" w:eastAsiaTheme="minorEastAsia" w:cstheme="minorEastAsia"/>
          <w:color w:val="auto"/>
          <w:sz w:val="24"/>
          <w:highlight w:val="none"/>
          <w:lang w:val="en-GB"/>
        </w:rPr>
        <w:t>活动当事人之一，负责项目的整体规划、技术方案可行性设计论证与实施，作为合同用户的主体承担质疑回复、履行合同义务、验收与评价等义务。</w:t>
      </w:r>
    </w:p>
    <w:p>
      <w:pPr>
        <w:numPr>
          <w:ilvl w:val="0"/>
          <w:numId w:val="0"/>
        </w:numPr>
        <w:tabs>
          <w:tab w:val="left" w:pos="540"/>
        </w:tabs>
        <w:spacing w:line="360" w:lineRule="auto"/>
        <w:ind w:left="480" w:hanging="480" w:hanging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招标代理机构</w:t>
      </w:r>
      <w:r>
        <w:rPr>
          <w:rFonts w:hint="eastAsia" w:asciiTheme="minorEastAsia" w:hAnsiTheme="minorEastAsia" w:eastAsiaTheme="minorEastAsia" w:cstheme="minorEastAsia"/>
          <w:color w:val="auto"/>
          <w:sz w:val="24"/>
          <w:highlight w:val="none"/>
        </w:rPr>
        <w:t>”系指</w:t>
      </w:r>
      <w:r>
        <w:rPr>
          <w:rFonts w:hint="eastAsia" w:asciiTheme="minorEastAsia" w:hAnsiTheme="minorEastAsia" w:eastAsiaTheme="minorEastAsia" w:cstheme="minorEastAsia"/>
          <w:b/>
          <w:bCs/>
          <w:color w:val="auto"/>
          <w:sz w:val="24"/>
          <w:highlight w:val="none"/>
          <w:u w:val="single"/>
          <w:lang w:eastAsia="zh-CN"/>
        </w:rPr>
        <w:t>广东中采招标有限公司</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GB"/>
        </w:rPr>
        <w:t>是整个</w:t>
      </w:r>
      <w:r>
        <w:rPr>
          <w:rFonts w:hint="eastAsia" w:asciiTheme="minorEastAsia" w:hAnsiTheme="minorEastAsia" w:eastAsiaTheme="minorEastAsia" w:cstheme="minorEastAsia"/>
          <w:color w:val="auto"/>
          <w:sz w:val="24"/>
          <w:highlight w:val="none"/>
          <w:lang w:val="en-GB" w:eastAsia="zh-CN"/>
        </w:rPr>
        <w:t>竞投</w:t>
      </w:r>
      <w:r>
        <w:rPr>
          <w:rFonts w:hint="eastAsia" w:asciiTheme="minorEastAsia" w:hAnsiTheme="minorEastAsia" w:eastAsiaTheme="minorEastAsia" w:cstheme="minorEastAsia"/>
          <w:color w:val="auto"/>
          <w:sz w:val="24"/>
          <w:highlight w:val="none"/>
          <w:lang w:val="en-GB"/>
        </w:rPr>
        <w:t>活动的组织者，依法负责编制和发布</w:t>
      </w:r>
      <w:r>
        <w:rPr>
          <w:rFonts w:hint="eastAsia" w:asciiTheme="minorEastAsia" w:hAnsiTheme="minorEastAsia" w:eastAsiaTheme="minorEastAsia" w:cstheme="minorEastAsia"/>
          <w:color w:val="auto"/>
          <w:sz w:val="24"/>
          <w:highlight w:val="none"/>
          <w:lang w:val="en-GB" w:eastAsia="zh-CN"/>
        </w:rPr>
        <w:t>竞投文件</w:t>
      </w:r>
      <w:r>
        <w:rPr>
          <w:rFonts w:hint="eastAsia" w:asciiTheme="minorEastAsia" w:hAnsiTheme="minorEastAsia" w:eastAsiaTheme="minorEastAsia" w:cstheme="minorEastAsia"/>
          <w:color w:val="auto"/>
          <w:sz w:val="24"/>
          <w:highlight w:val="none"/>
          <w:lang w:val="en-GB"/>
        </w:rPr>
        <w:t>，对</w:t>
      </w:r>
      <w:r>
        <w:rPr>
          <w:rFonts w:hint="eastAsia" w:asciiTheme="minorEastAsia" w:hAnsiTheme="minorEastAsia" w:eastAsiaTheme="minorEastAsia" w:cstheme="minorEastAsia"/>
          <w:color w:val="auto"/>
          <w:sz w:val="24"/>
          <w:highlight w:val="none"/>
          <w:lang w:val="en-GB" w:eastAsia="zh-CN"/>
        </w:rPr>
        <w:t>竞投文件</w:t>
      </w:r>
      <w:r>
        <w:rPr>
          <w:rFonts w:hint="eastAsia" w:asciiTheme="minorEastAsia" w:hAnsiTheme="minorEastAsia" w:eastAsiaTheme="minorEastAsia" w:cstheme="minorEastAsia"/>
          <w:color w:val="auto"/>
          <w:sz w:val="24"/>
          <w:highlight w:val="none"/>
          <w:lang w:val="en-GB"/>
        </w:rPr>
        <w:t>拥有最终的解释权。</w:t>
      </w:r>
    </w:p>
    <w:p>
      <w:pPr>
        <w:numPr>
          <w:ilvl w:val="0"/>
          <w:numId w:val="0"/>
        </w:numPr>
        <w:tabs>
          <w:tab w:val="left" w:pos="540"/>
        </w:tabs>
        <w:spacing w:line="360" w:lineRule="auto"/>
        <w:ind w:left="480" w:hanging="480" w:hanging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2.3</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投标</w:t>
      </w:r>
      <w:r>
        <w:rPr>
          <w:rFonts w:hint="eastAsia" w:asciiTheme="minorEastAsia" w:hAnsiTheme="minorEastAsia" w:eastAsiaTheme="minorEastAsia" w:cstheme="minorEastAsia"/>
          <w:color w:val="auto"/>
          <w:sz w:val="24"/>
          <w:highlight w:val="none"/>
        </w:rPr>
        <w:t>人”系指响应招标、参加</w:t>
      </w:r>
      <w:r>
        <w:rPr>
          <w:rFonts w:hint="eastAsia" w:asciiTheme="minorEastAsia" w:hAnsiTheme="minorEastAsia" w:eastAsiaTheme="minorEastAsia" w:cstheme="minorEastAsia"/>
          <w:color w:val="auto"/>
          <w:sz w:val="24"/>
          <w:highlight w:val="none"/>
          <w:lang w:eastAsia="zh-CN"/>
        </w:rPr>
        <w:t>竞投</w:t>
      </w:r>
      <w:r>
        <w:rPr>
          <w:rFonts w:hint="eastAsia" w:asciiTheme="minorEastAsia" w:hAnsiTheme="minorEastAsia" w:eastAsiaTheme="minorEastAsia" w:cstheme="minorEastAsia"/>
          <w:color w:val="auto"/>
          <w:sz w:val="24"/>
          <w:highlight w:val="none"/>
        </w:rPr>
        <w:t>竞争的法人、其他组织或个人。</w:t>
      </w:r>
    </w:p>
    <w:p>
      <w:pPr>
        <w:numPr>
          <w:ilvl w:val="0"/>
          <w:numId w:val="0"/>
        </w:numPr>
        <w:tabs>
          <w:tab w:val="left" w:pos="540"/>
        </w:tabs>
        <w:spacing w:line="360" w:lineRule="auto"/>
        <w:ind w:left="480" w:hanging="480" w:hanging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2.4</w:t>
      </w:r>
      <w:r>
        <w:rPr>
          <w:rFonts w:hint="eastAsia" w:asciiTheme="minorEastAsia" w:hAnsiTheme="minorEastAsia" w:eastAsiaTheme="minorEastAsia" w:cstheme="minorEastAsia"/>
          <w:color w:val="auto"/>
          <w:sz w:val="24"/>
          <w:highlight w:val="none"/>
        </w:rPr>
        <w:t>“中标人”系指由评标委员会按本《</w:t>
      </w:r>
      <w:r>
        <w:rPr>
          <w:rFonts w:hint="eastAsia" w:asciiTheme="minorEastAsia" w:hAnsiTheme="minorEastAsia" w:eastAsiaTheme="minorEastAsia" w:cstheme="minorEastAsia"/>
          <w:color w:val="auto"/>
          <w:sz w:val="24"/>
          <w:highlight w:val="none"/>
          <w:lang w:eastAsia="zh-CN"/>
        </w:rPr>
        <w:t>竞投文件</w:t>
      </w:r>
      <w:r>
        <w:rPr>
          <w:rFonts w:hint="eastAsia" w:asciiTheme="minorEastAsia" w:hAnsiTheme="minorEastAsia" w:eastAsiaTheme="minorEastAsia" w:cstheme="minorEastAsia"/>
          <w:color w:val="auto"/>
          <w:sz w:val="24"/>
          <w:highlight w:val="none"/>
        </w:rPr>
        <w:t>》所列述的相关标准，评审推荐，经法定程序确定获得本项目中标资格的</w:t>
      </w:r>
      <w:r>
        <w:rPr>
          <w:rFonts w:hint="eastAsia" w:asciiTheme="minorEastAsia" w:hAnsiTheme="minorEastAsia" w:eastAsiaTheme="minorEastAsia" w:cstheme="minorEastAsia"/>
          <w:color w:val="auto"/>
          <w:sz w:val="24"/>
          <w:highlight w:val="none"/>
          <w:lang w:eastAsia="zh-CN"/>
        </w:rPr>
        <w:t>投标人</w:t>
      </w:r>
      <w:r>
        <w:rPr>
          <w:rFonts w:hint="eastAsia" w:asciiTheme="minorEastAsia" w:hAnsiTheme="minorEastAsia" w:eastAsiaTheme="minorEastAsia" w:cstheme="minorEastAsia"/>
          <w:color w:val="auto"/>
          <w:sz w:val="24"/>
          <w:highlight w:val="none"/>
        </w:rPr>
        <w:t>。</w:t>
      </w:r>
    </w:p>
    <w:p>
      <w:pPr>
        <w:numPr>
          <w:ilvl w:val="0"/>
          <w:numId w:val="0"/>
        </w:numPr>
        <w:tabs>
          <w:tab w:val="left" w:pos="540"/>
        </w:tabs>
        <w:spacing w:line="360" w:lineRule="auto"/>
        <w:ind w:left="480" w:hanging="480" w:hanging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2.5</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竞投文件</w:t>
      </w:r>
      <w:r>
        <w:rPr>
          <w:rFonts w:hint="eastAsia" w:asciiTheme="minorEastAsia" w:hAnsiTheme="minorEastAsia" w:eastAsiaTheme="minorEastAsia" w:cstheme="minorEastAsia"/>
          <w:color w:val="auto"/>
          <w:sz w:val="24"/>
          <w:highlight w:val="none"/>
        </w:rPr>
        <w:t>”系指由</w:t>
      </w:r>
      <w:r>
        <w:rPr>
          <w:rFonts w:hint="eastAsia" w:asciiTheme="minorEastAsia" w:hAnsiTheme="minorEastAsia" w:eastAsiaTheme="minorEastAsia" w:cstheme="minorEastAsia"/>
          <w:color w:val="auto"/>
          <w:sz w:val="24"/>
          <w:highlight w:val="none"/>
          <w:lang w:eastAsia="zh-CN"/>
        </w:rPr>
        <w:t>招标代理机构</w:t>
      </w:r>
      <w:r>
        <w:rPr>
          <w:rFonts w:hint="eastAsia" w:asciiTheme="minorEastAsia" w:hAnsiTheme="minorEastAsia" w:eastAsiaTheme="minorEastAsia" w:cstheme="minorEastAsia"/>
          <w:color w:val="auto"/>
          <w:sz w:val="24"/>
          <w:highlight w:val="none"/>
        </w:rPr>
        <w:t>依法发布的本</w:t>
      </w:r>
      <w:r>
        <w:rPr>
          <w:rFonts w:hint="eastAsia" w:asciiTheme="minorEastAsia" w:hAnsiTheme="minorEastAsia" w:eastAsiaTheme="minorEastAsia" w:cstheme="minorEastAsia"/>
          <w:color w:val="auto"/>
          <w:sz w:val="24"/>
          <w:highlight w:val="none"/>
          <w:lang w:eastAsia="zh-CN"/>
        </w:rPr>
        <w:t>竞投文件</w:t>
      </w:r>
      <w:r>
        <w:rPr>
          <w:rFonts w:hint="eastAsia" w:asciiTheme="minorEastAsia" w:hAnsiTheme="minorEastAsia" w:eastAsiaTheme="minorEastAsia" w:cstheme="minorEastAsia"/>
          <w:color w:val="auto"/>
          <w:sz w:val="24"/>
          <w:highlight w:val="none"/>
        </w:rPr>
        <w:t>，包括全部章节和附件。</w:t>
      </w:r>
    </w:p>
    <w:p>
      <w:pPr>
        <w:numPr>
          <w:ilvl w:val="0"/>
          <w:numId w:val="0"/>
        </w:numPr>
        <w:tabs>
          <w:tab w:val="left" w:pos="540"/>
        </w:tabs>
        <w:spacing w:line="360" w:lineRule="auto"/>
        <w:ind w:left="480" w:hanging="480" w:hanging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2.6</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资格审查</w:t>
      </w:r>
      <w:r>
        <w:rPr>
          <w:rFonts w:hint="eastAsia" w:asciiTheme="minorEastAsia" w:hAnsiTheme="minorEastAsia" w:eastAsiaTheme="minorEastAsia" w:cstheme="minorEastAsia"/>
          <w:color w:val="auto"/>
          <w:sz w:val="24"/>
          <w:highlight w:val="none"/>
        </w:rPr>
        <w:t>文件”系指</w:t>
      </w:r>
      <w:r>
        <w:rPr>
          <w:rFonts w:hint="eastAsia" w:asciiTheme="minorEastAsia" w:hAnsiTheme="minorEastAsia" w:eastAsiaTheme="minorEastAsia" w:cstheme="minorEastAsia"/>
          <w:color w:val="auto"/>
          <w:sz w:val="24"/>
          <w:highlight w:val="none"/>
          <w:lang w:eastAsia="zh-CN"/>
        </w:rPr>
        <w:t>投标</w:t>
      </w:r>
      <w:r>
        <w:rPr>
          <w:rFonts w:hint="eastAsia" w:asciiTheme="minorEastAsia" w:hAnsiTheme="minorEastAsia" w:eastAsiaTheme="minorEastAsia" w:cstheme="minorEastAsia"/>
          <w:color w:val="auto"/>
          <w:sz w:val="24"/>
          <w:highlight w:val="none"/>
        </w:rPr>
        <w:t>人根据本</w:t>
      </w:r>
      <w:r>
        <w:rPr>
          <w:rFonts w:hint="eastAsia" w:asciiTheme="minorEastAsia" w:hAnsiTheme="minorEastAsia" w:eastAsiaTheme="minorEastAsia" w:cstheme="minorEastAsia"/>
          <w:color w:val="auto"/>
          <w:sz w:val="24"/>
          <w:highlight w:val="none"/>
          <w:lang w:eastAsia="zh-CN"/>
        </w:rPr>
        <w:t>竞投文件</w:t>
      </w:r>
      <w:r>
        <w:rPr>
          <w:rFonts w:hint="eastAsia" w:asciiTheme="minorEastAsia" w:hAnsiTheme="minorEastAsia" w:eastAsiaTheme="minorEastAsia" w:cstheme="minorEastAsia"/>
          <w:color w:val="auto"/>
          <w:sz w:val="24"/>
          <w:highlight w:val="none"/>
        </w:rPr>
        <w:t>向</w:t>
      </w:r>
      <w:r>
        <w:rPr>
          <w:rFonts w:hint="eastAsia" w:asciiTheme="minorEastAsia" w:hAnsiTheme="minorEastAsia" w:eastAsiaTheme="minorEastAsia" w:cstheme="minorEastAsia"/>
          <w:color w:val="auto"/>
          <w:sz w:val="24"/>
          <w:highlight w:val="none"/>
          <w:lang w:eastAsia="zh-CN"/>
        </w:rPr>
        <w:t>招标代理机构</w:t>
      </w:r>
      <w:r>
        <w:rPr>
          <w:rFonts w:hint="eastAsia" w:asciiTheme="minorEastAsia" w:hAnsiTheme="minorEastAsia" w:eastAsiaTheme="minorEastAsia" w:cstheme="minorEastAsia"/>
          <w:color w:val="auto"/>
          <w:sz w:val="24"/>
          <w:highlight w:val="none"/>
        </w:rPr>
        <w:t>提交的全部文件。</w:t>
      </w:r>
    </w:p>
    <w:p>
      <w:pPr>
        <w:numPr>
          <w:ilvl w:val="0"/>
          <w:numId w:val="0"/>
        </w:numPr>
        <w:tabs>
          <w:tab w:val="left" w:pos="540"/>
        </w:tabs>
        <w:spacing w:line="360" w:lineRule="auto"/>
        <w:ind w:left="480" w:hanging="480" w:hanging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2.7</w:t>
      </w:r>
      <w:r>
        <w:rPr>
          <w:rFonts w:hint="eastAsia" w:asciiTheme="minorEastAsia" w:hAnsiTheme="minorEastAsia" w:eastAsiaTheme="minorEastAsia" w:cstheme="minorEastAsia"/>
          <w:color w:val="auto"/>
          <w:sz w:val="24"/>
          <w:highlight w:val="none"/>
        </w:rPr>
        <w:t>“合同”系指由本次</w:t>
      </w:r>
      <w:r>
        <w:rPr>
          <w:rFonts w:hint="eastAsia" w:asciiTheme="minorEastAsia" w:hAnsiTheme="minorEastAsia" w:eastAsiaTheme="minorEastAsia" w:cstheme="minorEastAsia"/>
          <w:color w:val="auto"/>
          <w:sz w:val="24"/>
          <w:highlight w:val="none"/>
          <w:lang w:eastAsia="zh-CN"/>
        </w:rPr>
        <w:t>竞投</w:t>
      </w:r>
      <w:r>
        <w:rPr>
          <w:rFonts w:hint="eastAsia" w:asciiTheme="minorEastAsia" w:hAnsiTheme="minorEastAsia" w:eastAsiaTheme="minorEastAsia" w:cstheme="minorEastAsia"/>
          <w:color w:val="auto"/>
          <w:sz w:val="24"/>
          <w:highlight w:val="none"/>
        </w:rPr>
        <w:t>所产生的合同或合约文件。</w:t>
      </w:r>
    </w:p>
    <w:p>
      <w:pPr>
        <w:numPr>
          <w:ilvl w:val="0"/>
          <w:numId w:val="0"/>
        </w:numPr>
        <w:tabs>
          <w:tab w:val="left" w:pos="540"/>
        </w:tabs>
        <w:spacing w:line="360" w:lineRule="auto"/>
        <w:ind w:left="480" w:hanging="480" w:hanging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2.8</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GB"/>
        </w:rPr>
        <w:t>日期</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GB"/>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GB"/>
        </w:rPr>
        <w:t>天数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GB"/>
        </w:rPr>
        <w:t>、</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lang w:val="en-GB"/>
        </w:rPr>
        <w:t>在无特别说明时</w:t>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lang w:val="en-GB"/>
        </w:rPr>
        <w:t>指公历日及北京时间。</w:t>
      </w:r>
    </w:p>
    <w:p>
      <w:pPr>
        <w:numPr>
          <w:ilvl w:val="0"/>
          <w:numId w:val="23"/>
        </w:numPr>
        <w:tabs>
          <w:tab w:val="left" w:pos="540"/>
        </w:tabs>
        <w:spacing w:before="120" w:beforeLines="50" w:line="360" w:lineRule="auto"/>
        <w:ind w:left="420" w:leftChars="0" w:hanging="420" w:firstLineChars="0"/>
        <w:rPr>
          <w:rFonts w:ascii="宋体"/>
          <w:b/>
          <w:color w:val="auto"/>
          <w:sz w:val="24"/>
          <w:highlight w:val="none"/>
        </w:rPr>
      </w:pPr>
      <w:r>
        <w:rPr>
          <w:rFonts w:hint="eastAsia" w:ascii="宋体" w:hAnsi="宋体"/>
          <w:b/>
          <w:color w:val="auto"/>
          <w:sz w:val="24"/>
          <w:highlight w:val="none"/>
        </w:rPr>
        <w:t>合格的</w:t>
      </w:r>
      <w:r>
        <w:rPr>
          <w:rFonts w:hint="eastAsia" w:ascii="宋体" w:hAnsi="宋体"/>
          <w:b/>
          <w:color w:val="auto"/>
          <w:sz w:val="24"/>
          <w:highlight w:val="none"/>
          <w:lang w:eastAsia="zh-CN"/>
        </w:rPr>
        <w:t>投标</w:t>
      </w:r>
      <w:r>
        <w:rPr>
          <w:rFonts w:hint="eastAsia" w:ascii="宋体" w:hAnsi="宋体"/>
          <w:b/>
          <w:color w:val="auto"/>
          <w:sz w:val="24"/>
          <w:highlight w:val="none"/>
        </w:rPr>
        <w:t>人：</w:t>
      </w:r>
    </w:p>
    <w:p>
      <w:pPr>
        <w:numPr>
          <w:ilvl w:val="0"/>
          <w:numId w:val="0"/>
        </w:numPr>
        <w:tabs>
          <w:tab w:val="left" w:pos="540"/>
        </w:tabs>
        <w:spacing w:line="360" w:lineRule="auto"/>
        <w:ind w:left="480" w:hanging="480" w:hanging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3.1投标人必须符合以下资格条件：</w:t>
      </w:r>
    </w:p>
    <w:p>
      <w:pPr>
        <w:pStyle w:val="2"/>
        <w:numPr>
          <w:ilvl w:val="0"/>
          <w:numId w:val="24"/>
        </w:numPr>
        <w:spacing w:line="450" w:lineRule="exact"/>
        <w:ind w:left="425" w:leftChars="0" w:hanging="425"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须具有独立法人资格，营业执照处于有效期内。</w:t>
      </w:r>
    </w:p>
    <w:p>
      <w:pPr>
        <w:pStyle w:val="2"/>
        <w:numPr>
          <w:ilvl w:val="0"/>
          <w:numId w:val="24"/>
        </w:numPr>
        <w:spacing w:line="450" w:lineRule="exact"/>
        <w:ind w:left="425" w:leftChars="0" w:hanging="425"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本项目不接受联合体竞投。</w:t>
      </w:r>
    </w:p>
    <w:p>
      <w:pPr>
        <w:pStyle w:val="2"/>
        <w:numPr>
          <w:ilvl w:val="0"/>
          <w:numId w:val="24"/>
        </w:numPr>
        <w:spacing w:line="450" w:lineRule="exact"/>
        <w:ind w:left="425" w:leftChars="0" w:hanging="425"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法律、行政法规规定的其他条件。</w:t>
      </w:r>
    </w:p>
    <w:p>
      <w:pPr>
        <w:numPr>
          <w:ilvl w:val="0"/>
          <w:numId w:val="25"/>
        </w:numPr>
        <w:tabs>
          <w:tab w:val="left" w:pos="284"/>
        </w:tabs>
        <w:autoSpaceDE w:val="0"/>
        <w:autoSpaceDN w:val="0"/>
        <w:adjustRightInd w:val="0"/>
        <w:snapToGrid w:val="0"/>
        <w:spacing w:line="360" w:lineRule="auto"/>
        <w:ind w:left="425" w:leftChars="0" w:hanging="425" w:firstLineChars="0"/>
        <w:rPr>
          <w:rFonts w:hint="eastAsia" w:cs="宋体"/>
          <w:color w:val="auto"/>
          <w:sz w:val="24"/>
          <w:szCs w:val="24"/>
          <w:highlight w:val="none"/>
          <w:lang w:eastAsia="zh-CN"/>
        </w:rPr>
      </w:pPr>
      <w:r>
        <w:rPr>
          <w:rFonts w:hint="eastAsia" w:cs="宋体"/>
          <w:color w:val="auto"/>
          <w:sz w:val="24"/>
          <w:szCs w:val="24"/>
          <w:highlight w:val="none"/>
          <w:lang w:eastAsia="zh-CN"/>
        </w:rPr>
        <w:t>单位负责人为同一人或者存在直接控股、管理关系的不同投标人，不得同时参加本项目竞投；</w:t>
      </w:r>
    </w:p>
    <w:p>
      <w:pPr>
        <w:numPr>
          <w:ilvl w:val="0"/>
          <w:numId w:val="25"/>
        </w:numPr>
        <w:tabs>
          <w:tab w:val="left" w:pos="284"/>
        </w:tabs>
        <w:autoSpaceDE w:val="0"/>
        <w:autoSpaceDN w:val="0"/>
        <w:adjustRightInd w:val="0"/>
        <w:snapToGrid w:val="0"/>
        <w:spacing w:line="360" w:lineRule="auto"/>
        <w:ind w:left="425" w:leftChars="0" w:hanging="425" w:firstLineChars="0"/>
        <w:rPr>
          <w:rFonts w:ascii="宋体"/>
          <w:color w:val="auto"/>
          <w:sz w:val="24"/>
          <w:szCs w:val="24"/>
          <w:highlight w:val="none"/>
        </w:rPr>
      </w:pPr>
      <w:r>
        <w:rPr>
          <w:rFonts w:hint="eastAsia" w:cs="宋体"/>
          <w:color w:val="auto"/>
          <w:sz w:val="24"/>
          <w:szCs w:val="24"/>
          <w:highlight w:val="none"/>
          <w:lang w:eastAsia="zh-CN"/>
        </w:rPr>
        <w:t>投标单位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供应商需提供相关证明资料】。</w:t>
      </w:r>
    </w:p>
    <w:p>
      <w:pPr>
        <w:numPr>
          <w:ilvl w:val="0"/>
          <w:numId w:val="0"/>
        </w:numPr>
        <w:tabs>
          <w:tab w:val="left" w:pos="540"/>
        </w:tabs>
        <w:spacing w:line="360" w:lineRule="auto"/>
        <w:ind w:left="0" w:firstLine="0"/>
        <w:rPr>
          <w:rFonts w:ascii="宋体"/>
          <w:color w:val="auto"/>
          <w:sz w:val="24"/>
          <w:szCs w:val="24"/>
          <w:highlight w:val="none"/>
        </w:rPr>
      </w:pPr>
      <w:r>
        <w:rPr>
          <w:rFonts w:hint="eastAsia" w:ascii="宋体" w:hAnsi="宋体"/>
          <w:color w:val="auto"/>
          <w:sz w:val="24"/>
          <w:szCs w:val="24"/>
          <w:highlight w:val="none"/>
          <w:lang w:val="en-US" w:eastAsia="zh-CN"/>
        </w:rPr>
        <w:t>3.2</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人必须购买了</w:t>
      </w:r>
      <w:r>
        <w:rPr>
          <w:rFonts w:hint="eastAsia" w:ascii="宋体" w:hAnsi="宋体"/>
          <w:color w:val="auto"/>
          <w:sz w:val="24"/>
          <w:szCs w:val="24"/>
          <w:highlight w:val="none"/>
          <w:lang w:eastAsia="zh-CN"/>
        </w:rPr>
        <w:t>竞投文件</w:t>
      </w:r>
      <w:r>
        <w:rPr>
          <w:rFonts w:hint="eastAsia" w:ascii="宋体" w:hAnsi="宋体"/>
          <w:color w:val="auto"/>
          <w:sz w:val="24"/>
          <w:szCs w:val="24"/>
          <w:highlight w:val="none"/>
        </w:rPr>
        <w:t>。</w:t>
      </w:r>
    </w:p>
    <w:p>
      <w:pPr>
        <w:numPr>
          <w:ilvl w:val="0"/>
          <w:numId w:val="0"/>
        </w:numPr>
        <w:tabs>
          <w:tab w:val="left" w:pos="540"/>
        </w:tabs>
        <w:spacing w:line="360" w:lineRule="auto"/>
        <w:ind w:left="480" w:hanging="480" w:hangingChars="200"/>
        <w:rPr>
          <w:rFonts w:ascii="宋体"/>
          <w:color w:val="auto"/>
          <w:sz w:val="24"/>
          <w:szCs w:val="24"/>
          <w:highlight w:val="none"/>
        </w:rPr>
      </w:pPr>
      <w:r>
        <w:rPr>
          <w:rFonts w:hint="eastAsia" w:ascii="宋体" w:hAnsi="宋体"/>
          <w:color w:val="auto"/>
          <w:sz w:val="24"/>
          <w:szCs w:val="24"/>
          <w:highlight w:val="none"/>
          <w:lang w:val="en-US" w:eastAsia="zh-CN"/>
        </w:rPr>
        <w:t>3.3</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人获取了本</w:t>
      </w:r>
      <w:r>
        <w:rPr>
          <w:rFonts w:hint="eastAsia" w:ascii="宋体" w:hAnsi="宋体"/>
          <w:color w:val="auto"/>
          <w:sz w:val="24"/>
          <w:szCs w:val="24"/>
          <w:highlight w:val="none"/>
          <w:lang w:eastAsia="zh-CN"/>
        </w:rPr>
        <w:t>竞投文件</w:t>
      </w:r>
      <w:r>
        <w:rPr>
          <w:rFonts w:hint="eastAsia" w:ascii="宋体" w:hAnsi="宋体"/>
          <w:color w:val="auto"/>
          <w:sz w:val="24"/>
          <w:szCs w:val="24"/>
          <w:highlight w:val="none"/>
        </w:rPr>
        <w:t>并非意味着满足了合格、有效</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人的基本条件，一切均以</w:t>
      </w:r>
      <w:r>
        <w:rPr>
          <w:rFonts w:hint="eastAsia" w:ascii="宋体" w:hAnsi="宋体"/>
          <w:color w:val="auto"/>
          <w:sz w:val="24"/>
          <w:szCs w:val="24"/>
          <w:highlight w:val="none"/>
          <w:lang w:eastAsia="zh-CN"/>
        </w:rPr>
        <w:t>招标人代表与招标代理机构代表</w:t>
      </w:r>
      <w:r>
        <w:rPr>
          <w:rFonts w:hint="eastAsia" w:ascii="宋体" w:hAnsi="宋体"/>
          <w:color w:val="auto"/>
          <w:sz w:val="24"/>
          <w:szCs w:val="24"/>
          <w:highlight w:val="none"/>
        </w:rPr>
        <w:t>共同评定确认的结果为准。不合格的</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人</w:t>
      </w:r>
      <w:r>
        <w:rPr>
          <w:rFonts w:hint="eastAsia" w:ascii="宋体" w:hAnsi="宋体"/>
          <w:color w:val="auto"/>
          <w:sz w:val="24"/>
          <w:szCs w:val="24"/>
          <w:highlight w:val="none"/>
          <w:lang w:eastAsia="zh-CN"/>
        </w:rPr>
        <w:t>招标人拒绝其参加竞投</w:t>
      </w:r>
      <w:r>
        <w:rPr>
          <w:rFonts w:hint="eastAsia" w:ascii="宋体" w:hAnsi="宋体"/>
          <w:color w:val="auto"/>
          <w:sz w:val="24"/>
          <w:szCs w:val="24"/>
          <w:highlight w:val="none"/>
        </w:rPr>
        <w:t>，且</w:t>
      </w:r>
      <w:r>
        <w:rPr>
          <w:rFonts w:hint="eastAsia" w:ascii="宋体" w:hAnsi="宋体"/>
          <w:color w:val="auto"/>
          <w:sz w:val="24"/>
          <w:szCs w:val="24"/>
          <w:highlight w:val="none"/>
          <w:lang w:eastAsia="zh-CN"/>
        </w:rPr>
        <w:t>不退还竞投文件费和</w:t>
      </w:r>
      <w:r>
        <w:rPr>
          <w:rFonts w:hint="eastAsia" w:ascii="宋体" w:hAnsi="宋体"/>
          <w:color w:val="auto"/>
          <w:sz w:val="24"/>
          <w:szCs w:val="24"/>
          <w:highlight w:val="none"/>
        </w:rPr>
        <w:t>不予支付任何费用。</w:t>
      </w:r>
    </w:p>
    <w:p>
      <w:pPr>
        <w:numPr>
          <w:ilvl w:val="0"/>
          <w:numId w:val="23"/>
        </w:numPr>
        <w:tabs>
          <w:tab w:val="left" w:pos="540"/>
        </w:tabs>
        <w:spacing w:before="120" w:beforeLines="50" w:line="360" w:lineRule="auto"/>
        <w:ind w:left="420" w:leftChars="0" w:hanging="420" w:firstLineChars="0"/>
        <w:rPr>
          <w:rFonts w:ascii="宋体"/>
          <w:color w:val="auto"/>
          <w:sz w:val="24"/>
          <w:szCs w:val="24"/>
          <w:highlight w:val="none"/>
        </w:rPr>
      </w:pPr>
      <w:r>
        <w:rPr>
          <w:rFonts w:hint="eastAsia" w:ascii="宋体" w:hAnsi="宋体"/>
          <w:b/>
          <w:color w:val="auto"/>
          <w:sz w:val="24"/>
          <w:szCs w:val="24"/>
          <w:highlight w:val="none"/>
          <w:lang w:val="zh-CN"/>
        </w:rPr>
        <w:t>竞投费用：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人应承担所有与准备和参加</w:t>
      </w:r>
      <w:r>
        <w:rPr>
          <w:rFonts w:hint="eastAsia" w:ascii="宋体" w:hAnsi="宋体"/>
          <w:color w:val="auto"/>
          <w:sz w:val="24"/>
          <w:szCs w:val="24"/>
          <w:highlight w:val="none"/>
          <w:lang w:eastAsia="zh-CN"/>
        </w:rPr>
        <w:t>竞投</w:t>
      </w:r>
      <w:r>
        <w:rPr>
          <w:rFonts w:hint="eastAsia" w:ascii="宋体" w:hAnsi="宋体"/>
          <w:color w:val="auto"/>
          <w:sz w:val="24"/>
          <w:szCs w:val="24"/>
          <w:highlight w:val="none"/>
        </w:rPr>
        <w:t>所涉及的一切费用。不论</w:t>
      </w:r>
      <w:r>
        <w:rPr>
          <w:rFonts w:hint="eastAsia" w:ascii="宋体" w:hAnsi="宋体"/>
          <w:color w:val="auto"/>
          <w:sz w:val="24"/>
          <w:szCs w:val="24"/>
          <w:highlight w:val="none"/>
          <w:lang w:eastAsia="zh-CN"/>
        </w:rPr>
        <w:t>竞投</w:t>
      </w:r>
      <w:r>
        <w:rPr>
          <w:rFonts w:hint="eastAsia" w:ascii="宋体" w:hAnsi="宋体"/>
          <w:color w:val="auto"/>
          <w:sz w:val="24"/>
          <w:szCs w:val="24"/>
          <w:highlight w:val="none"/>
        </w:rPr>
        <w:t>的结果如何，</w:t>
      </w:r>
      <w:r>
        <w:rPr>
          <w:rFonts w:hint="eastAsia" w:ascii="宋体" w:hAnsi="宋体"/>
          <w:color w:val="auto"/>
          <w:sz w:val="24"/>
          <w:szCs w:val="24"/>
          <w:highlight w:val="none"/>
          <w:lang w:eastAsia="zh-CN"/>
        </w:rPr>
        <w:t>招标代理机构</w:t>
      </w:r>
      <w:r>
        <w:rPr>
          <w:rFonts w:hint="eastAsia" w:ascii="宋体" w:hAnsi="宋体"/>
          <w:color w:val="auto"/>
          <w:sz w:val="24"/>
          <w:szCs w:val="24"/>
          <w:highlight w:val="none"/>
        </w:rPr>
        <w:t>和</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均无义务和责任承担这些费用。</w:t>
      </w:r>
    </w:p>
    <w:p>
      <w:pPr>
        <w:numPr>
          <w:ilvl w:val="0"/>
          <w:numId w:val="23"/>
        </w:numPr>
        <w:tabs>
          <w:tab w:val="left" w:pos="540"/>
        </w:tabs>
        <w:spacing w:before="120" w:beforeLines="50" w:line="360" w:lineRule="auto"/>
        <w:ind w:left="420" w:leftChars="0" w:hanging="420" w:firstLineChars="0"/>
        <w:rPr>
          <w:rFonts w:ascii="宋体"/>
          <w:color w:val="auto"/>
          <w:sz w:val="24"/>
          <w:highlight w:val="none"/>
        </w:rPr>
      </w:pPr>
      <w:r>
        <w:rPr>
          <w:rFonts w:hint="eastAsia" w:ascii="宋体" w:hAnsi="宋体"/>
          <w:b/>
          <w:color w:val="auto"/>
          <w:sz w:val="24"/>
          <w:highlight w:val="none"/>
          <w:lang w:val="zh-CN"/>
        </w:rPr>
        <w:t>纪律与保密事项：</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5.1</w:t>
      </w:r>
      <w:r>
        <w:rPr>
          <w:rFonts w:hint="eastAsia" w:ascii="宋体" w:hAnsi="宋体"/>
          <w:color w:val="auto"/>
          <w:sz w:val="24"/>
          <w:szCs w:val="24"/>
          <w:highlight w:val="none"/>
          <w:lang w:eastAsia="zh-CN"/>
        </w:rPr>
        <w:t>投标人不得相互串通竞投报价，或以不正当的手段妨碍、排挤其他投标人，扰乱招标市场，破坏公平竞争原则，不得损害招标人或其他投标人的合法权益，投标人不得以向招标人行贿或者采取其他不正当手段谋取中标。</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5.2</w:t>
      </w:r>
      <w:r>
        <w:rPr>
          <w:rFonts w:hint="eastAsia" w:ascii="宋体" w:hAnsi="宋体"/>
          <w:color w:val="auto"/>
          <w:sz w:val="24"/>
          <w:szCs w:val="24"/>
          <w:highlight w:val="none"/>
          <w:lang w:eastAsia="zh-CN"/>
        </w:rPr>
        <w:t>获得本竞投文件者，应对文件进行保密，不得用作本次竞投以外的任何用途。若有要求，开标后，投标人应归还竞投文件中保密的文件和资料。</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5.3</w:t>
      </w:r>
      <w:r>
        <w:rPr>
          <w:rFonts w:hint="eastAsia" w:ascii="宋体" w:hAnsi="宋体"/>
          <w:color w:val="auto"/>
          <w:sz w:val="24"/>
          <w:szCs w:val="24"/>
          <w:highlight w:val="none"/>
          <w:lang w:eastAsia="zh-CN"/>
        </w:rPr>
        <w:t>由招标人向投标人提供的图纸、详细资料、样品、模型、模件和所有其他资料，被视为保密资料，仅被用于它所规定的用途。除非得到招标人的同意，不能向任何第三方透露。开标结束后，应招标人要求，投标人应归还所有从招标人处获得的保密资料。</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5.4</w:t>
      </w:r>
      <w:r>
        <w:rPr>
          <w:rFonts w:hint="eastAsia" w:ascii="宋体" w:hAnsi="宋体"/>
          <w:color w:val="auto"/>
          <w:sz w:val="24"/>
          <w:szCs w:val="24"/>
          <w:highlight w:val="none"/>
          <w:lang w:eastAsia="zh-CN"/>
        </w:rPr>
        <w:t>除投标人被要求对竞投文件进行澄清外，在确定中标人之前，投标人不得与招标人就竞投价格、竞投方案等实质性内容进行谈判。</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5.5</w:t>
      </w:r>
      <w:r>
        <w:rPr>
          <w:rFonts w:hint="eastAsia" w:ascii="宋体" w:hAnsi="宋体"/>
          <w:color w:val="auto"/>
          <w:sz w:val="24"/>
          <w:szCs w:val="24"/>
          <w:highlight w:val="none"/>
          <w:lang w:eastAsia="zh-CN"/>
        </w:rPr>
        <w:t>从递交资格审查文件截止之日起至授予合同期间，在资格审查文件的审查、澄清阶段，投标人试图对招标代理机构施加任何影响或对招标人的比较及授予合同的决定产生影响，都可能导致其取消资格。</w:t>
      </w:r>
    </w:p>
    <w:p>
      <w:pPr>
        <w:numPr>
          <w:ilvl w:val="0"/>
          <w:numId w:val="23"/>
        </w:numPr>
        <w:tabs>
          <w:tab w:val="left" w:pos="540"/>
        </w:tabs>
        <w:spacing w:before="120" w:beforeLines="50" w:line="360" w:lineRule="auto"/>
        <w:ind w:left="420" w:leftChars="0" w:hanging="420" w:firstLineChars="0"/>
        <w:rPr>
          <w:rFonts w:ascii="宋体"/>
          <w:b/>
          <w:color w:val="auto"/>
          <w:sz w:val="24"/>
          <w:highlight w:val="none"/>
          <w:lang w:val="zh-CN"/>
        </w:rPr>
      </w:pPr>
      <w:r>
        <w:rPr>
          <w:rFonts w:hint="eastAsia" w:ascii="宋体" w:hAnsi="宋体"/>
          <w:b/>
          <w:color w:val="auto"/>
          <w:sz w:val="24"/>
          <w:highlight w:val="none"/>
          <w:lang w:val="zh-CN"/>
        </w:rPr>
        <w:t>勘探现场及咨询答疑会：</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6.1</w:t>
      </w:r>
      <w:r>
        <w:rPr>
          <w:rFonts w:hint="eastAsia" w:ascii="宋体" w:hAnsi="宋体"/>
          <w:color w:val="auto"/>
          <w:sz w:val="24"/>
          <w:szCs w:val="24"/>
          <w:highlight w:val="none"/>
          <w:lang w:val="zh-CN" w:eastAsia="zh-CN"/>
        </w:rPr>
        <w:t>投标人应充分重视和仔细地进行这种考察，以便获取那些须投标人自己负责的有关编制资格审查文件和签署合同所涉及现场所有的资料。一旦中标，这种考察即被认为其结果已在中标文件中得到充分反映。</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6.2</w:t>
      </w:r>
      <w:r>
        <w:rPr>
          <w:rFonts w:hint="eastAsia" w:ascii="宋体" w:hAnsi="宋体"/>
          <w:color w:val="auto"/>
          <w:sz w:val="24"/>
          <w:szCs w:val="24"/>
          <w:highlight w:val="none"/>
          <w:lang w:val="zh-CN" w:eastAsia="zh-CN"/>
        </w:rPr>
        <w:t>招标人向投标人提供的有关现场的数据和资料，是招标人现有的能被投标人利用的资料，招标人对投标人做出的任何推论、理解和结论均不负责任。</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6.3</w:t>
      </w:r>
      <w:r>
        <w:rPr>
          <w:rFonts w:hint="eastAsia" w:ascii="宋体" w:hAnsi="宋体"/>
          <w:color w:val="auto"/>
          <w:sz w:val="24"/>
          <w:szCs w:val="24"/>
          <w:highlight w:val="none"/>
          <w:lang w:val="zh-CN" w:eastAsia="zh-CN"/>
        </w:rPr>
        <w:t>经招标人允许，投标人可为踏勘目的进入招标人的项目现场。在考察过程中，投标人及其代表必须承担那些进入现场后，由于他们的行为所造成的人身伤害（不管是否致命）、财产损失或损坏，以及其他任何原因造成的损失、损坏或费用，投标人不得因此使招标人承担有关的责任和蒙受损失。</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6.4</w:t>
      </w:r>
      <w:r>
        <w:rPr>
          <w:rFonts w:hint="eastAsia" w:ascii="宋体" w:hAnsi="宋体"/>
          <w:color w:val="auto"/>
          <w:sz w:val="24"/>
          <w:szCs w:val="24"/>
          <w:highlight w:val="none"/>
          <w:lang w:val="zh-CN" w:eastAsia="zh-CN"/>
        </w:rPr>
        <w:t>本项目不集中统一举行现场勘探，投标人可自行考察现场，因此而产生的费用由投标人自己承担。</w:t>
      </w:r>
    </w:p>
    <w:p>
      <w:pPr>
        <w:spacing w:line="312" w:lineRule="auto"/>
        <w:rPr>
          <w:rFonts w:ascii="宋体"/>
          <w:color w:val="auto"/>
          <w:sz w:val="24"/>
          <w:highlight w:val="none"/>
        </w:rPr>
      </w:pPr>
    </w:p>
    <w:p>
      <w:pPr>
        <w:spacing w:after="72" w:afterLines="30" w:line="336" w:lineRule="auto"/>
        <w:ind w:right="-178" w:rightChars="-85"/>
        <w:jc w:val="center"/>
        <w:outlineLvl w:val="1"/>
        <w:rPr>
          <w:rFonts w:ascii="宋体"/>
          <w:b/>
          <w:color w:val="auto"/>
          <w:sz w:val="28"/>
          <w:szCs w:val="28"/>
          <w:highlight w:val="none"/>
        </w:rPr>
      </w:pPr>
      <w:bookmarkStart w:id="41" w:name="_Toc19884"/>
      <w:bookmarkStart w:id="42" w:name="_Toc10095"/>
      <w:bookmarkStart w:id="43" w:name="_Toc6537"/>
      <w:bookmarkStart w:id="44" w:name="_Toc334432591"/>
      <w:bookmarkStart w:id="45" w:name="_Toc21830"/>
      <w:r>
        <w:rPr>
          <w:rFonts w:hint="eastAsia" w:ascii="宋体" w:hAnsi="宋体"/>
          <w:b/>
          <w:color w:val="auto"/>
          <w:sz w:val="28"/>
          <w:szCs w:val="28"/>
          <w:highlight w:val="none"/>
        </w:rPr>
        <w:t>三、</w:t>
      </w:r>
      <w:r>
        <w:rPr>
          <w:rFonts w:hint="eastAsia" w:ascii="宋体" w:hAnsi="宋体"/>
          <w:b/>
          <w:color w:val="auto"/>
          <w:sz w:val="28"/>
          <w:szCs w:val="28"/>
          <w:highlight w:val="none"/>
          <w:lang w:eastAsia="zh-CN"/>
        </w:rPr>
        <w:t>竞投文件</w:t>
      </w:r>
      <w:r>
        <w:rPr>
          <w:rFonts w:hint="eastAsia" w:ascii="宋体" w:hAnsi="宋体"/>
          <w:b/>
          <w:color w:val="auto"/>
          <w:sz w:val="28"/>
          <w:szCs w:val="28"/>
          <w:highlight w:val="none"/>
        </w:rPr>
        <w:t>说明</w:t>
      </w:r>
      <w:bookmarkEnd w:id="41"/>
      <w:bookmarkEnd w:id="42"/>
      <w:bookmarkEnd w:id="43"/>
      <w:bookmarkEnd w:id="44"/>
      <w:bookmarkEnd w:id="45"/>
    </w:p>
    <w:p>
      <w:pPr>
        <w:numPr>
          <w:ilvl w:val="0"/>
          <w:numId w:val="23"/>
        </w:numPr>
        <w:tabs>
          <w:tab w:val="left" w:pos="540"/>
        </w:tabs>
        <w:spacing w:line="360" w:lineRule="auto"/>
        <w:ind w:left="420" w:leftChars="0" w:hanging="420" w:firstLineChars="0"/>
        <w:rPr>
          <w:rFonts w:ascii="宋体"/>
          <w:b/>
          <w:color w:val="auto"/>
          <w:sz w:val="24"/>
          <w:highlight w:val="none"/>
          <w:lang w:val="zh-CN"/>
        </w:rPr>
      </w:pPr>
      <w:r>
        <w:rPr>
          <w:rFonts w:hint="eastAsia" w:ascii="宋体" w:hAnsi="宋体"/>
          <w:b/>
          <w:color w:val="auto"/>
          <w:sz w:val="24"/>
          <w:highlight w:val="none"/>
          <w:lang w:val="zh-CN"/>
        </w:rPr>
        <w:t>竞投文件的构成</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7.1</w:t>
      </w:r>
      <w:r>
        <w:rPr>
          <w:rFonts w:hint="eastAsia" w:ascii="宋体" w:hAnsi="宋体"/>
          <w:color w:val="auto"/>
          <w:sz w:val="24"/>
          <w:szCs w:val="24"/>
          <w:highlight w:val="none"/>
          <w:lang w:val="en-GB" w:eastAsia="zh-CN"/>
        </w:rPr>
        <w:t>本竞投文件是招标人作为阐明项目内容及相应的伴随服务的基本要求，竞投文件、资格审查文件、资格审查结果、竞投结果、合同书和相关承诺确认文件均作为任何一方当事人履约的重要依据。投标人获得竞投文件后，应仔细检查竞投文件的所有内容，如有残缺等问题应在获得竞投文件1天内向招标代理机构（或招标人）提出，否则，由此引起的损失由投标人自己承担。</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7.2</w:t>
      </w:r>
      <w:r>
        <w:rPr>
          <w:rFonts w:hint="eastAsia" w:ascii="宋体" w:hAnsi="宋体"/>
          <w:color w:val="auto"/>
          <w:sz w:val="24"/>
          <w:szCs w:val="24"/>
          <w:highlight w:val="none"/>
          <w:lang w:val="zh-CN" w:eastAsia="zh-CN"/>
        </w:rPr>
        <w:t>本竞投文件由①竞投公告、②项目内容、③投标人须知、④合同书范本、⑤资格审查文件格式共五部分组成。</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7.3</w:t>
      </w:r>
      <w:r>
        <w:rPr>
          <w:rFonts w:hint="eastAsia" w:ascii="宋体" w:hAnsi="宋体"/>
          <w:color w:val="auto"/>
          <w:sz w:val="24"/>
          <w:szCs w:val="24"/>
          <w:highlight w:val="none"/>
          <w:lang w:val="zh-CN" w:eastAsia="zh-CN"/>
        </w:rPr>
        <w:t>投标人应仔细阅读、并充分理解竞投文件的全部内容（包括所有的补充、修改内容、重要事项、格式、条款和技术规范、参数及要求等）。按照竞投文件的要求编制资格审查文件和提交全部资料，并对竞投文件提出的实质性和条件作出响应。</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7.2</w:t>
      </w:r>
      <w:r>
        <w:rPr>
          <w:rFonts w:hint="eastAsia" w:ascii="宋体" w:hAnsi="宋体"/>
          <w:color w:val="auto"/>
          <w:sz w:val="24"/>
          <w:szCs w:val="24"/>
          <w:highlight w:val="none"/>
          <w:lang w:val="zh-CN" w:eastAsia="zh-CN"/>
        </w:rPr>
        <w:t>投标人没有按照竞投文件要求提交全部资料，或者资格审查文件没有对竞投文件在各方面都做出实质性响应是投标人的风险，有可能导致其资格审查不通过，或被认定为无效竞投或被确定为竞投无效。</w:t>
      </w:r>
    </w:p>
    <w:p>
      <w:pPr>
        <w:numPr>
          <w:ilvl w:val="0"/>
          <w:numId w:val="23"/>
        </w:numPr>
        <w:tabs>
          <w:tab w:val="left" w:pos="540"/>
        </w:tabs>
        <w:spacing w:before="120" w:beforeLines="50" w:line="360" w:lineRule="auto"/>
        <w:ind w:left="420" w:leftChars="0" w:hanging="420" w:firstLineChars="0"/>
        <w:rPr>
          <w:rFonts w:ascii="宋体"/>
          <w:b/>
          <w:color w:val="auto"/>
          <w:sz w:val="24"/>
          <w:highlight w:val="none"/>
          <w:lang w:val="zh-CN"/>
        </w:rPr>
      </w:pPr>
      <w:r>
        <w:rPr>
          <w:rFonts w:hint="eastAsia" w:ascii="宋体" w:hAnsi="宋体"/>
          <w:b/>
          <w:color w:val="auto"/>
          <w:sz w:val="24"/>
          <w:highlight w:val="none"/>
          <w:lang w:val="zh-CN"/>
        </w:rPr>
        <w:t>竞投文件的澄清</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8.1</w:t>
      </w:r>
      <w:r>
        <w:rPr>
          <w:rFonts w:hint="eastAsia" w:ascii="宋体" w:hAnsi="宋体"/>
          <w:color w:val="auto"/>
          <w:sz w:val="24"/>
          <w:szCs w:val="24"/>
          <w:highlight w:val="none"/>
          <w:lang w:val="zh-CN" w:eastAsia="zh-CN"/>
        </w:rPr>
        <w:t>投标人对本竞投文件如有疑问，请按竞投公告载明的地址以书面形式【包括信函或传真等（应加盖公章），下同】向招标代理机构提出澄清要求,招标代理机构对收到的任何澄清要求以书面形式予以答复。</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8.2</w:t>
      </w:r>
      <w:r>
        <w:rPr>
          <w:rFonts w:hint="eastAsia" w:ascii="宋体" w:hAnsi="宋体"/>
          <w:color w:val="auto"/>
          <w:sz w:val="24"/>
          <w:szCs w:val="24"/>
          <w:highlight w:val="none"/>
          <w:lang w:val="zh-CN" w:eastAsia="zh-CN"/>
        </w:rPr>
        <w:t>根据需要，招标代理机构和招标人在收到投标人递交的书面疑问或澄清要求后，将以书面形式解答或通过信息发布网站发布答疑或澄清文件。答疑或澄清文件将作为竞投文件的组成部分，如与竞投文件内容不一致的，应以最终的答疑或澄清文件的内容为准。</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8.3</w:t>
      </w:r>
      <w:r>
        <w:rPr>
          <w:rFonts w:hint="eastAsia" w:ascii="宋体" w:hAnsi="宋体"/>
          <w:color w:val="auto"/>
          <w:sz w:val="24"/>
          <w:szCs w:val="24"/>
          <w:highlight w:val="none"/>
          <w:lang w:val="zh-CN" w:eastAsia="zh-CN"/>
        </w:rPr>
        <w:t>投标人在规定的时间内，未对发布的澄清内容或答疑内容作出回复时，招标代理机构和招标人将视其为无异议。</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8.4</w:t>
      </w:r>
      <w:r>
        <w:rPr>
          <w:rFonts w:hint="eastAsia" w:ascii="宋体" w:hAnsi="宋体"/>
          <w:color w:val="auto"/>
          <w:sz w:val="24"/>
          <w:szCs w:val="24"/>
          <w:highlight w:val="none"/>
          <w:lang w:val="zh-CN" w:eastAsia="zh-CN"/>
        </w:rPr>
        <w:t>招标过程中的一切修改文件或补充文件一旦确认后与竞投文件具有同等法律效力，投标人有责任履行相应的义务。</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8.5澄清的内容可能影响资格审查文件编制的，招标人或者招标代理机构应当在竞投截止时间至少1日前，</w:t>
      </w:r>
      <w:r>
        <w:rPr>
          <w:rFonts w:hint="eastAsia" w:ascii="宋体" w:hAnsi="宋体"/>
          <w:color w:val="auto"/>
          <w:sz w:val="24"/>
          <w:szCs w:val="24"/>
          <w:highlight w:val="none"/>
          <w:lang w:val="zh-CN" w:eastAsia="zh-CN"/>
        </w:rPr>
        <w:t>在</w:t>
      </w:r>
      <w:r>
        <w:rPr>
          <w:rFonts w:hint="eastAsia" w:ascii="宋体" w:hAnsi="宋体"/>
          <w:color w:val="auto"/>
          <w:sz w:val="24"/>
          <w:szCs w:val="24"/>
          <w:highlight w:val="none"/>
          <w:lang w:val="en-US" w:eastAsia="zh-CN"/>
        </w:rPr>
        <w:t>佛山市公共资源交易中心禅城分中心网页发布</w:t>
      </w:r>
      <w:r>
        <w:rPr>
          <w:rFonts w:hint="eastAsia" w:ascii="宋体" w:hAnsi="宋体"/>
          <w:color w:val="auto"/>
          <w:sz w:val="24"/>
          <w:szCs w:val="24"/>
          <w:highlight w:val="none"/>
          <w:lang w:val="zh-CN" w:eastAsia="zh-CN"/>
        </w:rPr>
        <w:t>通知</w:t>
      </w:r>
      <w:r>
        <w:rPr>
          <w:rFonts w:hint="eastAsia" w:ascii="宋体" w:hAnsi="宋体"/>
          <w:color w:val="auto"/>
          <w:sz w:val="24"/>
          <w:szCs w:val="24"/>
          <w:highlight w:val="none"/>
          <w:lang w:val="en-US" w:eastAsia="zh-CN"/>
        </w:rPr>
        <w:t>潜在投标人；不足1日的，招标人或者招标代理机构应当顺延提交资格审查文件的截止时间。</w:t>
      </w:r>
    </w:p>
    <w:p>
      <w:pPr>
        <w:numPr>
          <w:ilvl w:val="0"/>
          <w:numId w:val="23"/>
        </w:numPr>
        <w:tabs>
          <w:tab w:val="left" w:pos="540"/>
        </w:tabs>
        <w:spacing w:before="120" w:beforeLines="50" w:line="360" w:lineRule="auto"/>
        <w:ind w:left="420" w:leftChars="0" w:hanging="420" w:firstLineChars="0"/>
        <w:rPr>
          <w:rFonts w:ascii="宋体"/>
          <w:b/>
          <w:color w:val="auto"/>
          <w:sz w:val="24"/>
          <w:highlight w:val="none"/>
          <w:lang w:val="zh-CN"/>
        </w:rPr>
      </w:pPr>
      <w:r>
        <w:rPr>
          <w:rFonts w:hint="eastAsia" w:ascii="宋体" w:hAnsi="宋体"/>
          <w:b/>
          <w:color w:val="auto"/>
          <w:sz w:val="24"/>
          <w:highlight w:val="none"/>
          <w:lang w:val="zh-CN"/>
        </w:rPr>
        <w:t>竞投文件的修改</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9.1</w:t>
      </w:r>
      <w:r>
        <w:rPr>
          <w:rFonts w:hint="eastAsia" w:ascii="宋体" w:hAnsi="宋体"/>
          <w:color w:val="auto"/>
          <w:sz w:val="24"/>
          <w:szCs w:val="24"/>
          <w:highlight w:val="none"/>
          <w:lang w:val="zh-CN" w:eastAsia="zh-CN"/>
        </w:rPr>
        <w:t>在递交资格审查文件截止日期前的任何时候，无论何故，招标代理机构可主动地或在答复投标人提出澄清的问题时对竞投文件进行修改。</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9.2</w:t>
      </w:r>
      <w:r>
        <w:rPr>
          <w:rFonts w:hint="eastAsia" w:ascii="宋体" w:hAnsi="宋体"/>
          <w:color w:val="auto"/>
          <w:sz w:val="24"/>
          <w:szCs w:val="24"/>
          <w:highlight w:val="none"/>
          <w:lang w:val="zh-CN" w:eastAsia="zh-CN"/>
        </w:rPr>
        <w:t>竞投文件的修改将在</w:t>
      </w:r>
      <w:r>
        <w:rPr>
          <w:rFonts w:hint="eastAsia" w:ascii="宋体" w:hAnsi="宋体"/>
          <w:color w:val="auto"/>
          <w:sz w:val="24"/>
          <w:szCs w:val="24"/>
          <w:highlight w:val="none"/>
          <w:lang w:val="en-US" w:eastAsia="zh-CN"/>
        </w:rPr>
        <w:t>佛山市公共资源交易中心禅城分中心网页发布，投标人自行查看，一经发布则视作全体投标人均已知悉</w:t>
      </w:r>
      <w:r>
        <w:rPr>
          <w:rFonts w:hint="eastAsia" w:ascii="宋体" w:hAnsi="宋体"/>
          <w:color w:val="auto"/>
          <w:sz w:val="24"/>
          <w:szCs w:val="24"/>
          <w:highlight w:val="none"/>
          <w:lang w:val="zh-CN" w:eastAsia="zh-CN"/>
        </w:rPr>
        <w:t>。</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9.3</w:t>
      </w:r>
      <w:r>
        <w:rPr>
          <w:rFonts w:hint="eastAsia" w:ascii="宋体" w:hAnsi="宋体"/>
          <w:color w:val="auto"/>
          <w:sz w:val="24"/>
          <w:szCs w:val="24"/>
          <w:highlight w:val="none"/>
          <w:lang w:val="zh-CN" w:eastAsia="zh-CN"/>
        </w:rPr>
        <w:t>必要时，为使投标人在准备资格审查文件时有合理的时间考虑竞投文件的修改，招标代理机构可酌情推迟本项目递交资格审查文件截止日期，但应发布公告并书面通知所有购买竞投文件的潜在投标人。</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9.4</w:t>
      </w:r>
      <w:r>
        <w:rPr>
          <w:rFonts w:hint="eastAsia" w:ascii="宋体" w:hAnsi="宋体"/>
          <w:color w:val="auto"/>
          <w:sz w:val="24"/>
          <w:szCs w:val="24"/>
          <w:highlight w:val="none"/>
          <w:lang w:val="zh-CN" w:eastAsia="zh-CN"/>
        </w:rPr>
        <w:t>修改的内容可能影响资格审查文件编制的，招标人或者招标代理机构应当在竞投截止时间至少</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val="zh-CN" w:eastAsia="zh-CN"/>
        </w:rPr>
        <w:t>日前，在</w:t>
      </w:r>
      <w:r>
        <w:rPr>
          <w:rFonts w:hint="eastAsia" w:ascii="宋体" w:hAnsi="宋体"/>
          <w:color w:val="auto"/>
          <w:sz w:val="24"/>
          <w:szCs w:val="24"/>
          <w:highlight w:val="none"/>
          <w:lang w:val="en-US" w:eastAsia="zh-CN"/>
        </w:rPr>
        <w:t>佛山市公共资源交易中心禅城分中心网页发布</w:t>
      </w:r>
      <w:r>
        <w:rPr>
          <w:rFonts w:hint="eastAsia" w:ascii="宋体" w:hAnsi="宋体"/>
          <w:color w:val="auto"/>
          <w:sz w:val="24"/>
          <w:szCs w:val="24"/>
          <w:highlight w:val="none"/>
          <w:lang w:val="zh-CN" w:eastAsia="zh-CN"/>
        </w:rPr>
        <w:t>通知</w:t>
      </w:r>
      <w:r>
        <w:rPr>
          <w:rFonts w:hint="eastAsia" w:ascii="宋体" w:hAnsi="宋体"/>
          <w:color w:val="auto"/>
          <w:sz w:val="24"/>
          <w:szCs w:val="24"/>
          <w:highlight w:val="none"/>
          <w:lang w:val="en-US" w:eastAsia="zh-CN"/>
        </w:rPr>
        <w:t>潜在投标人</w:t>
      </w:r>
      <w:r>
        <w:rPr>
          <w:rFonts w:hint="eastAsia" w:ascii="宋体" w:hAnsi="宋体"/>
          <w:color w:val="auto"/>
          <w:sz w:val="24"/>
          <w:szCs w:val="24"/>
          <w:highlight w:val="none"/>
          <w:lang w:val="zh-CN" w:eastAsia="zh-CN"/>
        </w:rPr>
        <w:t>；不足</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val="zh-CN" w:eastAsia="zh-CN"/>
        </w:rPr>
        <w:t>日的，招标人或者招标代理机构应当顺延提交资格审查文件的截止时间。</w:t>
      </w:r>
    </w:p>
    <w:p>
      <w:pPr>
        <w:spacing w:after="72" w:afterLines="30" w:line="336" w:lineRule="auto"/>
        <w:ind w:right="-178" w:rightChars="-85"/>
        <w:jc w:val="center"/>
        <w:rPr>
          <w:rFonts w:hint="eastAsia" w:ascii="宋体" w:hAnsi="宋体"/>
          <w:b/>
          <w:color w:val="auto"/>
          <w:sz w:val="28"/>
          <w:szCs w:val="28"/>
          <w:highlight w:val="none"/>
        </w:rPr>
      </w:pPr>
      <w:bookmarkStart w:id="46" w:name="_Toc31024"/>
      <w:bookmarkStart w:id="47" w:name="_Toc334432592"/>
    </w:p>
    <w:p>
      <w:pPr>
        <w:spacing w:after="72" w:afterLines="30" w:line="336" w:lineRule="auto"/>
        <w:ind w:right="-178" w:rightChars="-85"/>
        <w:jc w:val="center"/>
        <w:outlineLvl w:val="1"/>
        <w:rPr>
          <w:rFonts w:ascii="宋体"/>
          <w:b/>
          <w:color w:val="auto"/>
          <w:sz w:val="28"/>
          <w:szCs w:val="28"/>
          <w:highlight w:val="none"/>
        </w:rPr>
      </w:pPr>
      <w:bookmarkStart w:id="48" w:name="_Toc5541"/>
      <w:bookmarkStart w:id="49" w:name="_Toc18892"/>
      <w:bookmarkStart w:id="50" w:name="_Toc29099"/>
      <w:r>
        <w:rPr>
          <w:rFonts w:hint="eastAsia" w:ascii="宋体" w:hAnsi="宋体"/>
          <w:b/>
          <w:color w:val="auto"/>
          <w:sz w:val="28"/>
          <w:szCs w:val="28"/>
          <w:highlight w:val="none"/>
        </w:rPr>
        <w:t>四、</w:t>
      </w:r>
      <w:r>
        <w:rPr>
          <w:rFonts w:hint="eastAsia" w:ascii="宋体" w:hAnsi="宋体"/>
          <w:b/>
          <w:color w:val="auto"/>
          <w:sz w:val="28"/>
          <w:szCs w:val="28"/>
          <w:highlight w:val="none"/>
          <w:lang w:eastAsia="zh-CN"/>
        </w:rPr>
        <w:t>资格审查</w:t>
      </w:r>
      <w:r>
        <w:rPr>
          <w:rFonts w:hint="eastAsia" w:ascii="宋体" w:hAnsi="宋体"/>
          <w:b/>
          <w:color w:val="auto"/>
          <w:sz w:val="28"/>
          <w:szCs w:val="28"/>
          <w:highlight w:val="none"/>
        </w:rPr>
        <w:t>文件说明</w:t>
      </w:r>
      <w:bookmarkEnd w:id="46"/>
      <w:bookmarkEnd w:id="47"/>
      <w:bookmarkEnd w:id="48"/>
      <w:bookmarkEnd w:id="49"/>
      <w:bookmarkEnd w:id="50"/>
    </w:p>
    <w:p>
      <w:pPr>
        <w:numPr>
          <w:ilvl w:val="0"/>
          <w:numId w:val="23"/>
        </w:numPr>
        <w:tabs>
          <w:tab w:val="left" w:pos="540"/>
        </w:tabs>
        <w:spacing w:line="374" w:lineRule="auto"/>
        <w:ind w:left="420" w:leftChars="0" w:hanging="420" w:firstLineChars="0"/>
        <w:rPr>
          <w:rFonts w:ascii="宋体"/>
          <w:b/>
          <w:color w:val="auto"/>
          <w:sz w:val="24"/>
          <w:highlight w:val="none"/>
          <w:lang w:val="zh-CN"/>
        </w:rPr>
      </w:pPr>
      <w:r>
        <w:rPr>
          <w:rFonts w:hint="eastAsia" w:ascii="宋体" w:hAnsi="宋体"/>
          <w:b/>
          <w:color w:val="auto"/>
          <w:sz w:val="24"/>
          <w:highlight w:val="none"/>
          <w:lang w:val="zh-CN"/>
        </w:rPr>
        <w:t>原则</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en-GB" w:eastAsia="zh-CN"/>
        </w:rPr>
      </w:pPr>
      <w:r>
        <w:rPr>
          <w:rFonts w:hint="eastAsia" w:ascii="宋体" w:hAnsi="宋体"/>
          <w:color w:val="auto"/>
          <w:sz w:val="24"/>
          <w:szCs w:val="24"/>
          <w:highlight w:val="none"/>
          <w:lang w:val="en-US" w:eastAsia="zh-CN"/>
        </w:rPr>
        <w:t>10.1</w:t>
      </w:r>
      <w:r>
        <w:rPr>
          <w:rFonts w:hint="eastAsia" w:ascii="宋体" w:hAnsi="宋体"/>
          <w:color w:val="auto"/>
          <w:sz w:val="24"/>
          <w:szCs w:val="24"/>
          <w:highlight w:val="none"/>
          <w:lang w:val="en-GB" w:eastAsia="zh-CN"/>
        </w:rPr>
        <w:t>资格审查文件应突出重点，精简扼要。所提供的资料必须符合诚实信用、客观真实的原则，对弄虚作假或违背诚信的违法行为，应自行承担相应的后果及法律责任。</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10.2</w:t>
      </w:r>
      <w:r>
        <w:rPr>
          <w:rFonts w:hint="eastAsia" w:ascii="宋体" w:hAnsi="宋体"/>
          <w:color w:val="auto"/>
          <w:sz w:val="24"/>
          <w:szCs w:val="24"/>
          <w:highlight w:val="none"/>
          <w:lang w:val="zh-CN" w:eastAsia="zh-CN"/>
        </w:rPr>
        <w:t>无论采购结果如何，投标人自行承担因参加本次竞投而发生的一切费用。</w:t>
      </w:r>
    </w:p>
    <w:p>
      <w:pPr>
        <w:numPr>
          <w:ilvl w:val="0"/>
          <w:numId w:val="23"/>
        </w:numPr>
        <w:tabs>
          <w:tab w:val="left" w:pos="540"/>
        </w:tabs>
        <w:spacing w:before="120" w:beforeLines="50" w:line="374" w:lineRule="auto"/>
        <w:ind w:left="420" w:leftChars="0" w:hanging="420" w:firstLineChars="0"/>
        <w:rPr>
          <w:rFonts w:ascii="宋体"/>
          <w:b/>
          <w:color w:val="auto"/>
          <w:sz w:val="24"/>
          <w:highlight w:val="none"/>
          <w:lang w:val="zh-CN"/>
        </w:rPr>
      </w:pPr>
      <w:bookmarkStart w:id="51" w:name="_Toc149106628"/>
      <w:bookmarkStart w:id="52" w:name="_Toc136682646"/>
      <w:bookmarkStart w:id="53" w:name="_Toc136659020"/>
      <w:bookmarkStart w:id="54" w:name="_Toc142985643"/>
      <w:bookmarkStart w:id="55" w:name="_Toc148948833"/>
      <w:bookmarkStart w:id="56" w:name="_Toc119321129"/>
      <w:bookmarkStart w:id="57" w:name="_Toc168310815"/>
      <w:bookmarkStart w:id="58" w:name="_Toc136663328"/>
      <w:bookmarkStart w:id="59" w:name="_Toc136684235"/>
      <w:r>
        <w:rPr>
          <w:rFonts w:hint="eastAsia" w:ascii="宋体" w:hAnsi="宋体"/>
          <w:b/>
          <w:color w:val="auto"/>
          <w:sz w:val="24"/>
          <w:highlight w:val="none"/>
          <w:lang w:val="zh-CN"/>
        </w:rPr>
        <w:t>资格审查文件的组成与制作要求</w:t>
      </w:r>
      <w:bookmarkEnd w:id="51"/>
      <w:bookmarkEnd w:id="52"/>
      <w:bookmarkEnd w:id="53"/>
      <w:bookmarkEnd w:id="54"/>
      <w:bookmarkEnd w:id="55"/>
      <w:bookmarkEnd w:id="56"/>
      <w:bookmarkEnd w:id="57"/>
      <w:bookmarkEnd w:id="58"/>
      <w:bookmarkEnd w:id="59"/>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en-GB" w:eastAsia="zh-CN"/>
        </w:rPr>
      </w:pPr>
      <w:r>
        <w:rPr>
          <w:rFonts w:hint="eastAsia" w:ascii="宋体" w:hAnsi="宋体"/>
          <w:color w:val="auto"/>
          <w:sz w:val="24"/>
          <w:szCs w:val="24"/>
          <w:highlight w:val="none"/>
          <w:lang w:val="en-US" w:eastAsia="zh-CN"/>
        </w:rPr>
        <w:t>11.1</w:t>
      </w:r>
      <w:r>
        <w:rPr>
          <w:rFonts w:hint="eastAsia" w:ascii="宋体" w:hAnsi="宋体"/>
          <w:color w:val="auto"/>
          <w:sz w:val="24"/>
          <w:szCs w:val="24"/>
          <w:highlight w:val="none"/>
          <w:lang w:val="en-GB" w:eastAsia="zh-CN"/>
        </w:rPr>
        <w:t>具体按竞投文件中第五部分“资格审查文件格式”的要求统一编制。</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en-GB" w:eastAsia="zh-CN"/>
        </w:rPr>
      </w:pPr>
      <w:r>
        <w:rPr>
          <w:rFonts w:hint="eastAsia" w:ascii="宋体" w:hAnsi="宋体"/>
          <w:color w:val="auto"/>
          <w:sz w:val="24"/>
          <w:szCs w:val="24"/>
          <w:highlight w:val="none"/>
          <w:lang w:val="en-US" w:eastAsia="zh-CN"/>
        </w:rPr>
        <w:t>11.2</w:t>
      </w:r>
      <w:r>
        <w:rPr>
          <w:rFonts w:hint="eastAsia" w:ascii="宋体" w:hAnsi="宋体"/>
          <w:color w:val="auto"/>
          <w:sz w:val="24"/>
          <w:szCs w:val="24"/>
          <w:highlight w:val="none"/>
          <w:lang w:val="en-GB" w:eastAsia="zh-CN"/>
        </w:rPr>
        <w:t>投标人应以A4版面统一编制《资格审查文件》。《资格审查文件》的电子文档应采用word格式或PDF格式制作</w:t>
      </w:r>
      <w:r>
        <w:rPr>
          <w:rFonts w:hint="eastAsia" w:ascii="宋体" w:hAnsi="宋体"/>
          <w:color w:val="auto"/>
          <w:sz w:val="24"/>
          <w:szCs w:val="24"/>
          <w:highlight w:val="none"/>
          <w:lang w:val="en-US" w:eastAsia="zh-CN"/>
        </w:rPr>
        <w:t>，并统一刻录在两份光盘内。</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en-GB" w:eastAsia="zh-CN"/>
        </w:rPr>
      </w:pPr>
      <w:r>
        <w:rPr>
          <w:rFonts w:hint="eastAsia" w:ascii="宋体" w:hAnsi="宋体"/>
          <w:color w:val="auto"/>
          <w:sz w:val="24"/>
          <w:szCs w:val="24"/>
          <w:highlight w:val="none"/>
          <w:lang w:val="en-US" w:eastAsia="zh-CN"/>
        </w:rPr>
        <w:t>11.3</w:t>
      </w:r>
      <w:r>
        <w:rPr>
          <w:rFonts w:hint="eastAsia" w:ascii="宋体" w:hAnsi="宋体"/>
          <w:color w:val="auto"/>
          <w:sz w:val="24"/>
          <w:szCs w:val="24"/>
          <w:highlight w:val="none"/>
          <w:lang w:val="en-GB" w:eastAsia="zh-CN"/>
        </w:rPr>
        <w:t>资格审查文件递交的内容和数量详见《投标须知前附表》要求。</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en-GB" w:eastAsia="zh-CN"/>
        </w:rPr>
      </w:pPr>
      <w:r>
        <w:rPr>
          <w:rFonts w:hint="eastAsia" w:ascii="宋体" w:hAnsi="宋体"/>
          <w:color w:val="auto"/>
          <w:sz w:val="24"/>
          <w:szCs w:val="24"/>
          <w:highlight w:val="none"/>
          <w:lang w:val="en-US" w:eastAsia="zh-CN"/>
        </w:rPr>
        <w:t>11.4</w:t>
      </w:r>
      <w:r>
        <w:rPr>
          <w:rFonts w:hint="eastAsia" w:ascii="宋体" w:hAnsi="宋体"/>
          <w:color w:val="auto"/>
          <w:sz w:val="24"/>
          <w:szCs w:val="24"/>
          <w:highlight w:val="none"/>
          <w:lang w:val="en-GB" w:eastAsia="zh-CN"/>
        </w:rPr>
        <w:t>资格审查文件的制作以及投标人与招标代理机构就有关竞投的所有来往函电均应使用简体中文。投标人提交的支持文件或印刷的资料可以用另一种语言，但相应内容须附有中文译注，对不同文字文本竞投文件的解释发生异议的，以中文文本为准。对中文翻译有异议的，以权威机构的译本为准。</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en-GB" w:eastAsia="zh-CN"/>
        </w:rPr>
      </w:pPr>
      <w:r>
        <w:rPr>
          <w:rFonts w:hint="eastAsia" w:ascii="宋体" w:hAnsi="宋体"/>
          <w:color w:val="auto"/>
          <w:sz w:val="24"/>
          <w:szCs w:val="24"/>
          <w:highlight w:val="none"/>
          <w:lang w:val="en-US" w:eastAsia="zh-CN"/>
        </w:rPr>
        <w:t>11.5</w:t>
      </w:r>
      <w:r>
        <w:rPr>
          <w:rFonts w:hint="eastAsia" w:ascii="宋体" w:hAnsi="宋体"/>
          <w:color w:val="auto"/>
          <w:sz w:val="24"/>
          <w:szCs w:val="24"/>
          <w:highlight w:val="none"/>
          <w:lang w:val="en-GB" w:eastAsia="zh-CN"/>
        </w:rPr>
        <w:t>资格审查文件使用的度量衡单位采用中华人民共和国法定计量单位。</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en-GB" w:eastAsia="zh-CN"/>
        </w:rPr>
      </w:pPr>
      <w:r>
        <w:rPr>
          <w:rFonts w:hint="eastAsia" w:ascii="宋体" w:hAnsi="宋体"/>
          <w:color w:val="auto"/>
          <w:sz w:val="24"/>
          <w:szCs w:val="24"/>
          <w:highlight w:val="none"/>
          <w:lang w:val="en-US" w:eastAsia="zh-CN"/>
        </w:rPr>
        <w:t>11.6</w:t>
      </w:r>
      <w:r>
        <w:rPr>
          <w:rFonts w:hint="eastAsia" w:ascii="宋体" w:hAnsi="宋体"/>
          <w:color w:val="auto"/>
          <w:sz w:val="24"/>
          <w:szCs w:val="24"/>
          <w:highlight w:val="none"/>
          <w:lang w:val="en-GB" w:eastAsia="zh-CN"/>
        </w:rPr>
        <w:t>资格审查文件所使用的公章必须为企事业法人公章，且与投标人名称一致。需签名之处必须由法定代表人或授权代表亲笔签署（或签章）。</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en-GB" w:eastAsia="zh-CN"/>
        </w:rPr>
      </w:pPr>
      <w:r>
        <w:rPr>
          <w:rFonts w:hint="eastAsia" w:ascii="宋体" w:hAnsi="宋体"/>
          <w:color w:val="auto"/>
          <w:sz w:val="24"/>
          <w:szCs w:val="24"/>
          <w:highlight w:val="none"/>
          <w:lang w:val="en-US" w:eastAsia="zh-CN"/>
        </w:rPr>
        <w:t>11.7</w:t>
      </w:r>
      <w:r>
        <w:rPr>
          <w:rFonts w:hint="eastAsia" w:ascii="宋体" w:hAnsi="宋体"/>
          <w:color w:val="auto"/>
          <w:sz w:val="24"/>
          <w:szCs w:val="24"/>
          <w:highlight w:val="none"/>
          <w:lang w:val="en-GB" w:eastAsia="zh-CN"/>
        </w:rPr>
        <w:t>资格审查文件自制部分必须打印（副本文件可由正本文件复印而成），且整册装订牢固可靠且不能轻易脱落。如因装订问题而出现漏页或缺页，由此产生的一切后果由投标人自行承担。</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en-GB" w:eastAsia="zh-CN"/>
        </w:rPr>
      </w:pPr>
      <w:r>
        <w:rPr>
          <w:rFonts w:hint="eastAsia" w:ascii="宋体" w:hAnsi="宋体"/>
          <w:color w:val="auto"/>
          <w:sz w:val="24"/>
          <w:szCs w:val="24"/>
          <w:highlight w:val="none"/>
          <w:lang w:val="en-US" w:eastAsia="zh-CN"/>
        </w:rPr>
        <w:t>11.8</w:t>
      </w:r>
      <w:r>
        <w:rPr>
          <w:rFonts w:hint="eastAsia" w:ascii="宋体" w:hAnsi="宋体"/>
          <w:color w:val="auto"/>
          <w:sz w:val="24"/>
          <w:szCs w:val="24"/>
          <w:highlight w:val="none"/>
          <w:lang w:val="en-GB" w:eastAsia="zh-CN"/>
        </w:rPr>
        <w:t>任何行间插字、涂改和增删（如有）必须由投标人代表签字确认并加盖投标人公章后方为有效。</w:t>
      </w:r>
    </w:p>
    <w:p>
      <w:pPr>
        <w:numPr>
          <w:ilvl w:val="0"/>
          <w:numId w:val="0"/>
        </w:numPr>
        <w:tabs>
          <w:tab w:val="left" w:pos="540"/>
        </w:tabs>
        <w:spacing w:line="360" w:lineRule="auto"/>
        <w:ind w:left="480" w:hanging="480" w:hangingChars="200"/>
        <w:rPr>
          <w:rFonts w:hint="eastAsia" w:ascii="宋体" w:hAnsi="宋体"/>
          <w:color w:val="auto"/>
          <w:sz w:val="24"/>
          <w:szCs w:val="24"/>
          <w:highlight w:val="none"/>
          <w:lang w:val="en-GB" w:eastAsia="zh-CN"/>
        </w:rPr>
      </w:pPr>
      <w:r>
        <w:rPr>
          <w:rFonts w:hint="eastAsia" w:ascii="宋体" w:hAnsi="宋体"/>
          <w:color w:val="auto"/>
          <w:sz w:val="24"/>
          <w:szCs w:val="24"/>
          <w:highlight w:val="none"/>
          <w:lang w:val="en-US" w:eastAsia="zh-CN"/>
        </w:rPr>
        <w:t>11.9</w:t>
      </w:r>
      <w:r>
        <w:rPr>
          <w:rFonts w:hint="eastAsia" w:ascii="宋体" w:hAnsi="宋体"/>
          <w:color w:val="auto"/>
          <w:sz w:val="24"/>
          <w:szCs w:val="24"/>
          <w:highlight w:val="none"/>
          <w:lang w:val="en-GB" w:eastAsia="zh-CN"/>
        </w:rPr>
        <w:t>资格审查文件【正本】和【副本】的封面须加盖投标人公章。</w:t>
      </w:r>
    </w:p>
    <w:p>
      <w:pPr>
        <w:numPr>
          <w:ilvl w:val="0"/>
          <w:numId w:val="0"/>
        </w:numPr>
        <w:tabs>
          <w:tab w:val="left" w:pos="540"/>
        </w:tabs>
        <w:spacing w:line="360" w:lineRule="auto"/>
        <w:ind w:left="480" w:hanging="480" w:hangingChars="200"/>
        <w:rPr>
          <w:color w:val="auto"/>
          <w:sz w:val="24"/>
          <w:highlight w:val="none"/>
          <w:lang w:val="en-GB"/>
        </w:rPr>
      </w:pPr>
      <w:r>
        <w:rPr>
          <w:rFonts w:hint="eastAsia" w:ascii="宋体" w:hAnsi="宋体"/>
          <w:color w:val="auto"/>
          <w:sz w:val="24"/>
          <w:highlight w:val="none"/>
          <w:lang w:val="en-US" w:eastAsia="zh-CN"/>
        </w:rPr>
        <w:t>11.10</w:t>
      </w:r>
      <w:r>
        <w:rPr>
          <w:rFonts w:hint="eastAsia" w:ascii="宋体" w:hAnsi="宋体"/>
          <w:color w:val="auto"/>
          <w:sz w:val="24"/>
          <w:szCs w:val="24"/>
          <w:highlight w:val="none"/>
          <w:lang w:val="en-GB" w:eastAsia="zh-CN"/>
        </w:rPr>
        <w:t>资格</w:t>
      </w:r>
      <w:r>
        <w:rPr>
          <w:rFonts w:hint="eastAsia" w:hAnsi="宋体"/>
          <w:color w:val="auto"/>
          <w:sz w:val="24"/>
          <w:highlight w:val="none"/>
          <w:lang w:val="en-GB" w:eastAsia="zh-CN"/>
        </w:rPr>
        <w:t>审查</w:t>
      </w:r>
      <w:r>
        <w:rPr>
          <w:rFonts w:hint="eastAsia" w:ascii="宋体" w:hAnsi="宋体"/>
          <w:color w:val="auto"/>
          <w:sz w:val="24"/>
          <w:highlight w:val="none"/>
          <w:lang w:val="en-GB"/>
        </w:rPr>
        <w:t>文件应包含正本、副本、相对应的电子文档，每一份</w:t>
      </w:r>
      <w:r>
        <w:rPr>
          <w:rFonts w:hint="eastAsia" w:ascii="宋体" w:hAnsi="宋体"/>
          <w:color w:val="auto"/>
          <w:sz w:val="24"/>
          <w:highlight w:val="none"/>
          <w:lang w:val="en-GB" w:eastAsia="zh-CN"/>
        </w:rPr>
        <w:t>竞投</w:t>
      </w:r>
      <w:r>
        <w:rPr>
          <w:rFonts w:hint="eastAsia" w:ascii="宋体" w:hAnsi="宋体"/>
          <w:color w:val="auto"/>
          <w:sz w:val="24"/>
          <w:highlight w:val="none"/>
          <w:lang w:val="en-GB"/>
        </w:rPr>
        <w:t>文件上应明确注明</w:t>
      </w:r>
      <w:r>
        <w:rPr>
          <w:rFonts w:hint="eastAsia" w:ascii="宋体"/>
          <w:color w:val="auto"/>
          <w:sz w:val="24"/>
          <w:highlight w:val="none"/>
          <w:lang w:val="en-GB"/>
        </w:rPr>
        <w:t>“</w:t>
      </w:r>
      <w:r>
        <w:rPr>
          <w:rFonts w:hint="eastAsia" w:ascii="宋体" w:hAnsi="宋体"/>
          <w:color w:val="auto"/>
          <w:sz w:val="24"/>
          <w:highlight w:val="none"/>
          <w:lang w:val="en-GB"/>
        </w:rPr>
        <w:t>正本</w:t>
      </w:r>
      <w:r>
        <w:rPr>
          <w:rFonts w:hint="eastAsia" w:ascii="宋体"/>
          <w:color w:val="auto"/>
          <w:sz w:val="24"/>
          <w:highlight w:val="none"/>
          <w:lang w:val="en-GB"/>
        </w:rPr>
        <w:t>”</w:t>
      </w:r>
      <w:r>
        <w:rPr>
          <w:rFonts w:hint="eastAsia" w:ascii="宋体" w:hAnsi="宋体"/>
          <w:color w:val="auto"/>
          <w:sz w:val="24"/>
          <w:highlight w:val="none"/>
          <w:lang w:val="en-GB"/>
        </w:rPr>
        <w:t>或</w:t>
      </w:r>
      <w:r>
        <w:rPr>
          <w:rFonts w:hint="eastAsia" w:ascii="宋体"/>
          <w:color w:val="auto"/>
          <w:sz w:val="24"/>
          <w:highlight w:val="none"/>
          <w:lang w:val="en-GB"/>
        </w:rPr>
        <w:t>“</w:t>
      </w:r>
      <w:r>
        <w:rPr>
          <w:rFonts w:hint="eastAsia" w:ascii="宋体" w:hAnsi="宋体"/>
          <w:color w:val="auto"/>
          <w:sz w:val="24"/>
          <w:highlight w:val="none"/>
          <w:lang w:val="en-GB"/>
        </w:rPr>
        <w:t>副本</w:t>
      </w:r>
      <w:r>
        <w:rPr>
          <w:rFonts w:hint="eastAsia" w:ascii="宋体"/>
          <w:color w:val="auto"/>
          <w:sz w:val="24"/>
          <w:highlight w:val="none"/>
          <w:lang w:val="en-GB"/>
        </w:rPr>
        <w:t>”</w:t>
      </w:r>
      <w:r>
        <w:rPr>
          <w:rFonts w:hint="eastAsia" w:ascii="宋体" w:hAnsi="宋体"/>
          <w:color w:val="auto"/>
          <w:sz w:val="24"/>
          <w:highlight w:val="none"/>
          <w:lang w:val="en-GB"/>
        </w:rPr>
        <w:t>字样，“电子文档”（光盘）表面须标明</w:t>
      </w:r>
      <w:r>
        <w:rPr>
          <w:rFonts w:hint="eastAsia" w:ascii="宋体" w:hAnsi="宋体"/>
          <w:color w:val="auto"/>
          <w:sz w:val="24"/>
          <w:highlight w:val="none"/>
          <w:lang w:val="en-GB" w:eastAsia="zh-CN"/>
        </w:rPr>
        <w:t>投标人</w:t>
      </w:r>
      <w:r>
        <w:rPr>
          <w:rFonts w:hint="eastAsia" w:ascii="宋体" w:hAnsi="宋体"/>
          <w:color w:val="auto"/>
          <w:sz w:val="24"/>
          <w:highlight w:val="none"/>
          <w:lang w:val="en-GB"/>
        </w:rPr>
        <w:t>名称，并</w:t>
      </w:r>
      <w:r>
        <w:rPr>
          <w:rFonts w:hint="eastAsia" w:ascii="宋体" w:hAnsi="宋体"/>
          <w:b/>
          <w:color w:val="auto"/>
          <w:sz w:val="24"/>
          <w:highlight w:val="none"/>
          <w:lang w:val="en-GB"/>
        </w:rPr>
        <w:t>应将上述资料密封在同一密封包中</w:t>
      </w:r>
      <w:r>
        <w:rPr>
          <w:rFonts w:hint="eastAsia" w:ascii="宋体" w:hAnsi="宋体"/>
          <w:color w:val="auto"/>
          <w:sz w:val="24"/>
          <w:highlight w:val="none"/>
          <w:lang w:val="en-GB"/>
        </w:rPr>
        <w:t>，若上述资料确实无法密封在同一密封包中，则可按实际情况分开密封，但须在密封包装上标明密封内容。密封各文件资料时，应在密封包装的封口处加盖</w:t>
      </w:r>
      <w:r>
        <w:rPr>
          <w:rFonts w:hint="eastAsia" w:ascii="宋体" w:hAnsi="宋体"/>
          <w:color w:val="auto"/>
          <w:sz w:val="24"/>
          <w:highlight w:val="none"/>
          <w:lang w:val="en-GB" w:eastAsia="zh-CN"/>
        </w:rPr>
        <w:t>投标人</w:t>
      </w:r>
      <w:r>
        <w:rPr>
          <w:rFonts w:hint="eastAsia" w:ascii="宋体" w:hAnsi="宋体"/>
          <w:color w:val="auto"/>
          <w:sz w:val="24"/>
          <w:highlight w:val="none"/>
          <w:lang w:val="en-GB"/>
        </w:rPr>
        <w:t>公章，同时</w:t>
      </w:r>
      <w:r>
        <w:rPr>
          <w:rFonts w:hint="eastAsia" w:hAnsi="宋体"/>
          <w:color w:val="auto"/>
          <w:sz w:val="24"/>
          <w:highlight w:val="none"/>
          <w:lang w:val="en-GB" w:eastAsia="zh-CN"/>
        </w:rPr>
        <w:t>资格审查</w:t>
      </w:r>
      <w:r>
        <w:rPr>
          <w:rFonts w:hint="eastAsia" w:ascii="宋体" w:hAnsi="宋体"/>
          <w:color w:val="auto"/>
          <w:sz w:val="24"/>
          <w:highlight w:val="none"/>
          <w:lang w:val="en-GB"/>
        </w:rPr>
        <w:t>文件应在规定时间内递交。</w:t>
      </w:r>
    </w:p>
    <w:p>
      <w:pPr>
        <w:numPr>
          <w:ilvl w:val="0"/>
          <w:numId w:val="0"/>
        </w:numPr>
        <w:tabs>
          <w:tab w:val="left" w:pos="540"/>
        </w:tabs>
        <w:spacing w:line="360" w:lineRule="auto"/>
        <w:ind w:left="480" w:hanging="480" w:hangingChars="200"/>
        <w:rPr>
          <w:color w:val="auto"/>
          <w:sz w:val="24"/>
          <w:highlight w:val="none"/>
          <w:lang w:val="en-GB"/>
        </w:rPr>
      </w:pPr>
      <w:r>
        <w:rPr>
          <w:rFonts w:hint="eastAsia" w:ascii="宋体" w:hAnsi="宋体"/>
          <w:color w:val="auto"/>
          <w:sz w:val="24"/>
          <w:highlight w:val="none"/>
          <w:lang w:val="en-US" w:eastAsia="zh-CN"/>
        </w:rPr>
        <w:t>11.11</w:t>
      </w:r>
      <w:r>
        <w:rPr>
          <w:rFonts w:hint="eastAsia" w:ascii="宋体" w:hAnsi="宋体"/>
          <w:color w:val="auto"/>
          <w:sz w:val="24"/>
          <w:highlight w:val="none"/>
          <w:lang w:val="en-GB"/>
        </w:rPr>
        <w:t>一旦</w:t>
      </w:r>
      <w:r>
        <w:rPr>
          <w:rFonts w:hint="eastAsia" w:hAnsi="宋体"/>
          <w:color w:val="auto"/>
          <w:sz w:val="24"/>
          <w:highlight w:val="none"/>
          <w:lang w:val="en-GB" w:eastAsia="zh-CN"/>
        </w:rPr>
        <w:t>资格审查</w:t>
      </w:r>
      <w:r>
        <w:rPr>
          <w:rFonts w:hint="eastAsia" w:ascii="宋体" w:hAnsi="宋体"/>
          <w:color w:val="auto"/>
          <w:sz w:val="24"/>
          <w:highlight w:val="none"/>
          <w:lang w:val="en-GB"/>
        </w:rPr>
        <w:t>文件的正本和副本及电子文档内容有差异，均以正本为准。</w:t>
      </w:r>
    </w:p>
    <w:p>
      <w:pPr>
        <w:numPr>
          <w:ilvl w:val="0"/>
          <w:numId w:val="0"/>
        </w:numPr>
        <w:tabs>
          <w:tab w:val="left" w:pos="540"/>
        </w:tabs>
        <w:spacing w:line="360" w:lineRule="auto"/>
        <w:ind w:left="480" w:hanging="482" w:hangingChars="200"/>
        <w:rPr>
          <w:rFonts w:hint="eastAsia" w:asciiTheme="minorEastAsia" w:hAnsiTheme="minorEastAsia" w:eastAsiaTheme="minorEastAsia" w:cstheme="minorEastAsia"/>
          <w:b/>
          <w:color w:val="auto"/>
          <w:sz w:val="24"/>
          <w:highlight w:val="none"/>
          <w:lang w:val="en-GB"/>
        </w:rPr>
      </w:pPr>
      <w:r>
        <w:rPr>
          <w:rFonts w:hint="eastAsia" w:asciiTheme="minorEastAsia" w:hAnsiTheme="minorEastAsia" w:eastAsiaTheme="minorEastAsia" w:cstheme="minorEastAsia"/>
          <w:b/>
          <w:color w:val="auto"/>
          <w:sz w:val="24"/>
          <w:highlight w:val="none"/>
          <w:lang w:val="en-US" w:eastAsia="zh-CN"/>
        </w:rPr>
        <w:t>11.12</w:t>
      </w:r>
      <w:r>
        <w:rPr>
          <w:rFonts w:hint="eastAsia" w:asciiTheme="minorEastAsia" w:hAnsiTheme="minorEastAsia" w:eastAsiaTheme="minorEastAsia" w:cstheme="minorEastAsia"/>
          <w:b/>
          <w:color w:val="auto"/>
          <w:sz w:val="24"/>
          <w:highlight w:val="none"/>
          <w:lang w:val="en-GB"/>
        </w:rPr>
        <w:t>所有密封文件封套正面统一按“文件包装袋封面”格式填写标贴。</w:t>
      </w:r>
    </w:p>
    <w:p>
      <w:pPr>
        <w:numPr>
          <w:ilvl w:val="0"/>
          <w:numId w:val="0"/>
        </w:numPr>
        <w:tabs>
          <w:tab w:val="left" w:pos="540"/>
        </w:tabs>
        <w:spacing w:line="360" w:lineRule="auto"/>
        <w:ind w:left="480" w:hanging="480" w:hangingChars="200"/>
        <w:rPr>
          <w:color w:val="auto"/>
          <w:sz w:val="24"/>
          <w:highlight w:val="none"/>
          <w:lang w:val="en-GB"/>
        </w:rPr>
      </w:pPr>
      <w:r>
        <w:rPr>
          <w:rFonts w:hint="eastAsia" w:asciiTheme="minorEastAsia" w:hAnsiTheme="minorEastAsia" w:eastAsiaTheme="minorEastAsia" w:cstheme="minorEastAsia"/>
          <w:color w:val="auto"/>
          <w:sz w:val="24"/>
          <w:highlight w:val="none"/>
          <w:lang w:val="en-US" w:eastAsia="zh-CN"/>
        </w:rPr>
        <w:t>11.13</w:t>
      </w:r>
      <w:r>
        <w:rPr>
          <w:rFonts w:hint="eastAsia" w:asciiTheme="minorEastAsia" w:hAnsiTheme="minorEastAsia" w:eastAsiaTheme="minorEastAsia" w:cstheme="minorEastAsia"/>
          <w:color w:val="auto"/>
          <w:sz w:val="24"/>
          <w:highlight w:val="none"/>
          <w:lang w:val="en-GB" w:eastAsia="zh-CN"/>
        </w:rPr>
        <w:t>招标</w:t>
      </w:r>
      <w:r>
        <w:rPr>
          <w:rFonts w:hint="eastAsia" w:asciiTheme="minorEastAsia" w:hAnsiTheme="minorEastAsia" w:eastAsiaTheme="minorEastAsia" w:cstheme="minorEastAsia"/>
          <w:b w:val="0"/>
          <w:bCs/>
          <w:color w:val="auto"/>
          <w:sz w:val="24"/>
          <w:highlight w:val="none"/>
          <w:lang w:val="en-GB" w:eastAsia="zh-CN"/>
        </w:rPr>
        <w:t>代理</w:t>
      </w:r>
      <w:r>
        <w:rPr>
          <w:rFonts w:hint="eastAsia" w:asciiTheme="minorEastAsia" w:hAnsiTheme="minorEastAsia" w:eastAsiaTheme="minorEastAsia" w:cstheme="minorEastAsia"/>
          <w:color w:val="auto"/>
          <w:sz w:val="24"/>
          <w:highlight w:val="none"/>
          <w:lang w:val="en-GB" w:eastAsia="zh-CN"/>
        </w:rPr>
        <w:t>机构</w:t>
      </w:r>
      <w:r>
        <w:rPr>
          <w:rFonts w:hint="eastAsia" w:asciiTheme="minorEastAsia" w:hAnsiTheme="minorEastAsia" w:eastAsiaTheme="minorEastAsia" w:cstheme="minorEastAsia"/>
          <w:color w:val="auto"/>
          <w:sz w:val="24"/>
          <w:highlight w:val="none"/>
          <w:lang w:val="en-GB"/>
        </w:rPr>
        <w:t>拒绝接</w:t>
      </w:r>
      <w:r>
        <w:rPr>
          <w:rFonts w:hint="eastAsia" w:hAnsi="宋体"/>
          <w:color w:val="auto"/>
          <w:sz w:val="24"/>
          <w:highlight w:val="none"/>
          <w:lang w:val="en-GB"/>
        </w:rPr>
        <w:t>受</w:t>
      </w:r>
      <w:r>
        <w:rPr>
          <w:rFonts w:hint="eastAsia" w:hAnsi="宋体"/>
          <w:color w:val="auto"/>
          <w:sz w:val="24"/>
          <w:highlight w:val="none"/>
          <w:lang w:val="en-GB" w:eastAsia="zh-CN"/>
        </w:rPr>
        <w:t>竞投</w:t>
      </w:r>
      <w:r>
        <w:rPr>
          <w:rFonts w:hint="eastAsia" w:hAnsi="宋体"/>
          <w:color w:val="auto"/>
          <w:sz w:val="24"/>
          <w:highlight w:val="none"/>
          <w:lang w:val="en-GB"/>
        </w:rPr>
        <w:t>的情形：</w:t>
      </w:r>
    </w:p>
    <w:p>
      <w:pPr>
        <w:numPr>
          <w:ilvl w:val="0"/>
          <w:numId w:val="26"/>
        </w:numPr>
        <w:tabs>
          <w:tab w:val="left" w:pos="540"/>
          <w:tab w:val="clear" w:pos="420"/>
        </w:tabs>
        <w:spacing w:line="374" w:lineRule="auto"/>
        <w:ind w:left="1260" w:hanging="720"/>
        <w:rPr>
          <w:rFonts w:ascii="宋体"/>
          <w:color w:val="auto"/>
          <w:sz w:val="24"/>
          <w:highlight w:val="none"/>
          <w:lang w:val="en-GB"/>
        </w:rPr>
      </w:pPr>
      <w:r>
        <w:rPr>
          <w:rFonts w:hint="eastAsia" w:ascii="宋体" w:hAnsi="宋体"/>
          <w:color w:val="auto"/>
          <w:sz w:val="24"/>
          <w:highlight w:val="none"/>
          <w:lang w:val="en-GB"/>
        </w:rPr>
        <w:t>以电报、电话传真形式</w:t>
      </w:r>
      <w:r>
        <w:rPr>
          <w:rFonts w:hint="eastAsia" w:ascii="宋体" w:hAnsi="宋体"/>
          <w:color w:val="auto"/>
          <w:sz w:val="24"/>
          <w:highlight w:val="none"/>
          <w:lang w:val="en-GB" w:eastAsia="zh-CN"/>
        </w:rPr>
        <w:t>竞投</w:t>
      </w:r>
      <w:r>
        <w:rPr>
          <w:rFonts w:hint="eastAsia" w:ascii="宋体" w:hAnsi="宋体"/>
          <w:color w:val="auto"/>
          <w:sz w:val="24"/>
          <w:highlight w:val="none"/>
          <w:lang w:val="en-GB"/>
        </w:rPr>
        <w:t>；</w:t>
      </w:r>
    </w:p>
    <w:p>
      <w:pPr>
        <w:numPr>
          <w:ilvl w:val="0"/>
          <w:numId w:val="26"/>
        </w:numPr>
        <w:tabs>
          <w:tab w:val="left" w:pos="540"/>
          <w:tab w:val="clear" w:pos="420"/>
        </w:tabs>
        <w:spacing w:line="374" w:lineRule="auto"/>
        <w:ind w:left="1260" w:hanging="720"/>
        <w:rPr>
          <w:rFonts w:ascii="宋体"/>
          <w:color w:val="auto"/>
          <w:sz w:val="24"/>
          <w:highlight w:val="none"/>
          <w:lang w:val="en-GB"/>
        </w:rPr>
      </w:pPr>
      <w:r>
        <w:rPr>
          <w:rFonts w:hint="eastAsia" w:ascii="宋体" w:hAnsi="宋体"/>
          <w:color w:val="auto"/>
          <w:sz w:val="24"/>
          <w:highlight w:val="none"/>
          <w:lang w:val="en-GB"/>
        </w:rPr>
        <w:t>密封、数量、规格、册装不合要求或逾期提交的</w:t>
      </w:r>
      <w:r>
        <w:rPr>
          <w:rFonts w:hint="eastAsia" w:hAnsi="宋体"/>
          <w:color w:val="auto"/>
          <w:sz w:val="24"/>
          <w:highlight w:val="none"/>
          <w:lang w:val="en-GB" w:eastAsia="zh-CN"/>
        </w:rPr>
        <w:t>资格审查</w:t>
      </w:r>
      <w:r>
        <w:rPr>
          <w:rFonts w:hint="eastAsia" w:ascii="宋体" w:hAnsi="宋体"/>
          <w:color w:val="auto"/>
          <w:sz w:val="24"/>
          <w:highlight w:val="none"/>
          <w:lang w:val="en-GB"/>
        </w:rPr>
        <w:t>文件；</w:t>
      </w:r>
    </w:p>
    <w:p>
      <w:pPr>
        <w:numPr>
          <w:ilvl w:val="0"/>
          <w:numId w:val="26"/>
        </w:numPr>
        <w:tabs>
          <w:tab w:val="left" w:pos="540"/>
          <w:tab w:val="clear" w:pos="420"/>
        </w:tabs>
        <w:spacing w:line="374" w:lineRule="auto"/>
        <w:ind w:left="840" w:hanging="300"/>
        <w:rPr>
          <w:rFonts w:ascii="宋体"/>
          <w:color w:val="auto"/>
          <w:sz w:val="24"/>
          <w:highlight w:val="none"/>
          <w:lang w:val="en-GB"/>
        </w:rPr>
      </w:pPr>
      <w:r>
        <w:rPr>
          <w:rFonts w:hint="eastAsia" w:ascii="宋体" w:hAnsi="宋体"/>
          <w:color w:val="auto"/>
          <w:sz w:val="24"/>
          <w:highlight w:val="none"/>
          <w:lang w:val="en-GB"/>
        </w:rPr>
        <w:t>未按要求</w:t>
      </w:r>
      <w:r>
        <w:rPr>
          <w:rFonts w:hint="eastAsia" w:ascii="宋体" w:hAnsi="宋体"/>
          <w:color w:val="auto"/>
          <w:sz w:val="24"/>
          <w:highlight w:val="none"/>
        </w:rPr>
        <w:t>购买</w:t>
      </w:r>
      <w:r>
        <w:rPr>
          <w:rFonts w:hint="eastAsia" w:ascii="宋体" w:hAnsi="宋体"/>
          <w:color w:val="auto"/>
          <w:sz w:val="24"/>
          <w:highlight w:val="none"/>
          <w:lang w:eastAsia="zh-CN"/>
        </w:rPr>
        <w:t>竞投文件</w:t>
      </w:r>
      <w:r>
        <w:rPr>
          <w:rFonts w:hint="eastAsia" w:ascii="宋体" w:hAnsi="宋体"/>
          <w:color w:val="auto"/>
          <w:sz w:val="24"/>
          <w:highlight w:val="none"/>
          <w:lang w:val="en-GB"/>
        </w:rPr>
        <w:t>或已</w:t>
      </w:r>
      <w:r>
        <w:rPr>
          <w:rFonts w:hint="eastAsia" w:ascii="宋体" w:hAnsi="宋体"/>
          <w:color w:val="auto"/>
          <w:sz w:val="24"/>
          <w:highlight w:val="none"/>
        </w:rPr>
        <w:t>购买</w:t>
      </w:r>
      <w:r>
        <w:rPr>
          <w:rFonts w:hint="eastAsia" w:ascii="宋体" w:hAnsi="宋体"/>
          <w:color w:val="auto"/>
          <w:sz w:val="24"/>
          <w:highlight w:val="none"/>
          <w:lang w:eastAsia="zh-CN"/>
        </w:rPr>
        <w:t>竞投文件</w:t>
      </w:r>
      <w:r>
        <w:rPr>
          <w:rFonts w:hint="eastAsia" w:ascii="宋体" w:hAnsi="宋体"/>
          <w:color w:val="auto"/>
          <w:sz w:val="24"/>
          <w:highlight w:val="none"/>
          <w:lang w:val="en-GB"/>
        </w:rPr>
        <w:t>但不按时交纳足额</w:t>
      </w:r>
      <w:r>
        <w:rPr>
          <w:rFonts w:hint="eastAsia" w:ascii="宋体" w:hAnsi="宋体"/>
          <w:color w:val="auto"/>
          <w:sz w:val="24"/>
          <w:highlight w:val="none"/>
          <w:lang w:val="en-GB" w:eastAsia="zh-CN"/>
        </w:rPr>
        <w:t>竞投</w:t>
      </w:r>
      <w:r>
        <w:rPr>
          <w:rFonts w:hint="eastAsia" w:ascii="宋体" w:hAnsi="宋体"/>
          <w:color w:val="auto"/>
          <w:sz w:val="24"/>
          <w:highlight w:val="none"/>
          <w:lang w:val="en-GB"/>
        </w:rPr>
        <w:t>保证金；</w:t>
      </w:r>
    </w:p>
    <w:p>
      <w:pPr>
        <w:numPr>
          <w:ilvl w:val="0"/>
          <w:numId w:val="26"/>
        </w:numPr>
        <w:tabs>
          <w:tab w:val="left" w:pos="540"/>
          <w:tab w:val="clear" w:pos="420"/>
        </w:tabs>
        <w:spacing w:line="374" w:lineRule="auto"/>
        <w:ind w:left="1260" w:hanging="720"/>
        <w:rPr>
          <w:rFonts w:ascii="宋体"/>
          <w:color w:val="auto"/>
          <w:sz w:val="24"/>
          <w:highlight w:val="none"/>
          <w:lang w:val="en-GB"/>
        </w:rPr>
      </w:pPr>
      <w:r>
        <w:rPr>
          <w:rFonts w:hint="eastAsia" w:ascii="宋体" w:hAnsi="宋体"/>
          <w:color w:val="auto"/>
          <w:sz w:val="24"/>
          <w:highlight w:val="none"/>
          <w:lang w:val="zh-CN"/>
        </w:rPr>
        <w:t>投标人代表未准时出席开标会或未按要求签到的。</w:t>
      </w:r>
    </w:p>
    <w:p>
      <w:pPr>
        <w:numPr>
          <w:ilvl w:val="0"/>
          <w:numId w:val="23"/>
        </w:numPr>
        <w:tabs>
          <w:tab w:val="left" w:pos="540"/>
        </w:tabs>
        <w:spacing w:before="120" w:beforeLines="50" w:line="374" w:lineRule="auto"/>
        <w:ind w:left="420" w:leftChars="0" w:hanging="420" w:firstLineChars="0"/>
        <w:rPr>
          <w:rFonts w:ascii="宋体"/>
          <w:b/>
          <w:color w:val="auto"/>
          <w:sz w:val="24"/>
          <w:highlight w:val="none"/>
          <w:lang w:val="zh-CN"/>
        </w:rPr>
      </w:pPr>
      <w:r>
        <w:rPr>
          <w:rFonts w:hint="eastAsia" w:ascii="宋体" w:hAnsi="宋体"/>
          <w:b/>
          <w:color w:val="auto"/>
          <w:sz w:val="24"/>
          <w:highlight w:val="none"/>
          <w:lang w:val="zh-CN"/>
        </w:rPr>
        <w:t>竞投报价</w:t>
      </w:r>
    </w:p>
    <w:p>
      <w:pPr>
        <w:numPr>
          <w:ilvl w:val="0"/>
          <w:numId w:val="0"/>
        </w:numPr>
        <w:tabs>
          <w:tab w:val="left" w:pos="540"/>
        </w:tabs>
        <w:spacing w:line="360" w:lineRule="auto"/>
        <w:ind w:left="480" w:hanging="480" w:hangingChars="200"/>
        <w:rPr>
          <w:rFonts w:hint="eastAsia" w:ascii="宋体" w:hAnsi="宋体"/>
          <w:color w:val="auto"/>
          <w:sz w:val="24"/>
          <w:highlight w:val="none"/>
          <w:lang w:val="en-GB"/>
        </w:rPr>
      </w:pPr>
      <w:r>
        <w:rPr>
          <w:rFonts w:hint="eastAsia" w:ascii="宋体" w:hAnsi="宋体"/>
          <w:color w:val="auto"/>
          <w:sz w:val="24"/>
          <w:highlight w:val="none"/>
          <w:lang w:val="en-US" w:eastAsia="zh-CN"/>
        </w:rPr>
        <w:t>12.1</w:t>
      </w:r>
      <w:r>
        <w:rPr>
          <w:rFonts w:hint="eastAsia" w:ascii="宋体" w:hAnsi="宋体"/>
          <w:color w:val="auto"/>
          <w:sz w:val="24"/>
          <w:highlight w:val="none"/>
          <w:lang w:val="en-GB"/>
        </w:rPr>
        <w:t>本次</w:t>
      </w:r>
      <w:r>
        <w:rPr>
          <w:rFonts w:hint="eastAsia" w:ascii="宋体" w:hAnsi="宋体"/>
          <w:color w:val="auto"/>
          <w:sz w:val="24"/>
          <w:highlight w:val="none"/>
          <w:lang w:val="en-US" w:eastAsia="zh-CN"/>
        </w:rPr>
        <w:t>竞投</w:t>
      </w:r>
      <w:r>
        <w:rPr>
          <w:rFonts w:hint="eastAsia" w:ascii="宋体" w:hAnsi="宋体"/>
          <w:color w:val="auto"/>
          <w:sz w:val="24"/>
          <w:highlight w:val="none"/>
          <w:lang w:val="en-GB"/>
        </w:rPr>
        <w:t>必须对项目要求的全部内容进行报价，</w:t>
      </w:r>
      <w:r>
        <w:rPr>
          <w:rFonts w:hint="eastAsia" w:ascii="宋体" w:hAnsi="宋体"/>
          <w:color w:val="auto"/>
          <w:sz w:val="24"/>
          <w:highlight w:val="none"/>
          <w:lang w:val="en-GB" w:eastAsia="zh-CN"/>
        </w:rPr>
        <w:t>经审查合格的投标人，只要确认领取本项目报价书参加竞投，即视为完全响应竞投文件的全部内容</w:t>
      </w:r>
      <w:r>
        <w:rPr>
          <w:rFonts w:hint="eastAsia" w:ascii="宋体" w:hAnsi="宋体"/>
          <w:color w:val="auto"/>
          <w:sz w:val="24"/>
          <w:highlight w:val="none"/>
          <w:lang w:val="en-GB"/>
        </w:rPr>
        <w:t>。</w:t>
      </w:r>
    </w:p>
    <w:p>
      <w:pPr>
        <w:numPr>
          <w:ilvl w:val="0"/>
          <w:numId w:val="0"/>
        </w:numPr>
        <w:tabs>
          <w:tab w:val="left" w:pos="540"/>
        </w:tabs>
        <w:spacing w:line="360" w:lineRule="auto"/>
        <w:ind w:left="480" w:hanging="480" w:hanging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12.1.1本次竞投会采取填写报价书和公布报价的方式进行。竞投人填好的报价书必须由法定代表人或授权代表填写，签名确认；报价书应密封，在密封袋上写明招标人名称，在密封处由法人或授权代表人签名。报价书一经递交，不得撤回或修改。</w:t>
      </w:r>
    </w:p>
    <w:p>
      <w:pPr>
        <w:numPr>
          <w:ilvl w:val="0"/>
          <w:numId w:val="0"/>
        </w:numPr>
        <w:tabs>
          <w:tab w:val="left" w:pos="540"/>
        </w:tabs>
        <w:spacing w:line="360" w:lineRule="auto"/>
        <w:ind w:left="480" w:hanging="480" w:hanging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12.1.2本项目所报价格不得低于本项目设定的最低限价，若报价金额低于设定的最低限价，则报价无效；若报价金额不低于本项目设定的最低限价，则采取价高者得的原则确定中标人。若出现最高报价相同的，按提交报价书的先后顺序确定中标人</w:t>
      </w:r>
      <w:r>
        <w:rPr>
          <w:rFonts w:hint="eastAsia" w:ascii="宋体" w:hAnsi="宋体"/>
          <w:b/>
          <w:bCs/>
          <w:color w:val="auto"/>
          <w:sz w:val="24"/>
          <w:highlight w:val="none"/>
          <w:lang w:val="en-US" w:eastAsia="zh-CN"/>
        </w:rPr>
        <w:t>（即最先提交报价书者为中标人）</w:t>
      </w:r>
      <w:r>
        <w:rPr>
          <w:rFonts w:hint="eastAsia" w:ascii="宋体" w:hAnsi="宋体"/>
          <w:color w:val="auto"/>
          <w:sz w:val="24"/>
          <w:highlight w:val="none"/>
          <w:lang w:val="en-US" w:eastAsia="zh-CN"/>
        </w:rPr>
        <w:t>。</w:t>
      </w:r>
    </w:p>
    <w:p>
      <w:pPr>
        <w:numPr>
          <w:ilvl w:val="0"/>
          <w:numId w:val="0"/>
        </w:numPr>
        <w:tabs>
          <w:tab w:val="left" w:pos="540"/>
        </w:tabs>
        <w:spacing w:line="360" w:lineRule="auto"/>
        <w:ind w:left="480" w:hanging="480" w:hangingChars="200"/>
        <w:rPr>
          <w:rFonts w:hint="eastAsia" w:ascii="宋体" w:hAnsi="宋体"/>
          <w:color w:val="auto"/>
          <w:sz w:val="24"/>
          <w:highlight w:val="none"/>
          <w:lang w:val="en-GB"/>
        </w:rPr>
      </w:pPr>
      <w:r>
        <w:rPr>
          <w:rFonts w:hint="eastAsia" w:ascii="宋体" w:hAnsi="宋体"/>
          <w:color w:val="auto"/>
          <w:sz w:val="24"/>
          <w:highlight w:val="none"/>
          <w:lang w:val="en-US" w:eastAsia="zh-CN"/>
        </w:rPr>
        <w:t>12.2</w:t>
      </w:r>
      <w:r>
        <w:rPr>
          <w:rFonts w:hint="eastAsia" w:ascii="宋体" w:hAnsi="宋体"/>
          <w:color w:val="auto"/>
          <w:sz w:val="24"/>
          <w:highlight w:val="none"/>
          <w:lang w:val="en-GB" w:eastAsia="zh-CN"/>
        </w:rPr>
        <w:t>竞投</w:t>
      </w:r>
      <w:r>
        <w:rPr>
          <w:rFonts w:hint="eastAsia" w:ascii="宋体" w:hAnsi="宋体"/>
          <w:color w:val="auto"/>
          <w:sz w:val="24"/>
          <w:highlight w:val="none"/>
          <w:lang w:val="en-GB"/>
        </w:rPr>
        <w:t>总价是以</w:t>
      </w:r>
      <w:r>
        <w:rPr>
          <w:rFonts w:hint="eastAsia" w:ascii="宋体" w:hAnsi="宋体"/>
          <w:color w:val="auto"/>
          <w:sz w:val="24"/>
          <w:highlight w:val="none"/>
          <w:lang w:val="en-GB" w:eastAsia="zh-CN"/>
        </w:rPr>
        <w:t>投标人</w:t>
      </w:r>
      <w:r>
        <w:rPr>
          <w:rFonts w:hint="eastAsia" w:ascii="宋体" w:hAnsi="宋体"/>
          <w:color w:val="auto"/>
          <w:sz w:val="24"/>
          <w:highlight w:val="none"/>
          <w:lang w:val="en-GB"/>
        </w:rPr>
        <w:t>可独立履行本项目合同义务，并在通过准确核算后，可满足预期实施效果、验收标准和符合自身合法利益的前提下所作出的综合性合理报价，对在</w:t>
      </w:r>
      <w:r>
        <w:rPr>
          <w:rFonts w:hint="eastAsia" w:ascii="宋体" w:hAnsi="宋体"/>
          <w:color w:val="auto"/>
          <w:sz w:val="24"/>
          <w:highlight w:val="none"/>
          <w:lang w:val="en-GB" w:eastAsia="zh-CN"/>
        </w:rPr>
        <w:t>竞投</w:t>
      </w:r>
      <w:r>
        <w:rPr>
          <w:rFonts w:hint="eastAsia" w:ascii="宋体" w:hAnsi="宋体"/>
          <w:color w:val="auto"/>
          <w:sz w:val="24"/>
          <w:highlight w:val="none"/>
          <w:lang w:val="en-GB"/>
        </w:rPr>
        <w:t>文件和合同书中未有明确列述、设计遗漏失误、市场剧变、汇率、利率因素、应预见和不可预见的费用等均视为已完全考虑到并包括在</w:t>
      </w:r>
      <w:r>
        <w:rPr>
          <w:rFonts w:hint="eastAsia" w:ascii="宋体" w:hAnsi="宋体"/>
          <w:color w:val="auto"/>
          <w:sz w:val="24"/>
          <w:highlight w:val="none"/>
          <w:lang w:val="en-GB" w:eastAsia="zh-CN"/>
        </w:rPr>
        <w:t>竞投</w:t>
      </w:r>
      <w:r>
        <w:rPr>
          <w:rFonts w:hint="eastAsia" w:ascii="宋体" w:hAnsi="宋体"/>
          <w:color w:val="auto"/>
          <w:sz w:val="24"/>
          <w:highlight w:val="none"/>
          <w:lang w:val="en-GB"/>
        </w:rPr>
        <w:t>总价之内。</w:t>
      </w:r>
    </w:p>
    <w:p>
      <w:pPr>
        <w:numPr>
          <w:ilvl w:val="0"/>
          <w:numId w:val="0"/>
        </w:numPr>
        <w:tabs>
          <w:tab w:val="left" w:pos="540"/>
        </w:tabs>
        <w:spacing w:line="360" w:lineRule="auto"/>
        <w:ind w:left="480" w:hanging="480" w:hangingChars="200"/>
        <w:rPr>
          <w:rFonts w:hint="eastAsia" w:ascii="宋体" w:hAnsi="宋体"/>
          <w:color w:val="auto"/>
          <w:sz w:val="24"/>
          <w:highlight w:val="none"/>
          <w:lang w:val="en-GB"/>
        </w:rPr>
      </w:pPr>
      <w:r>
        <w:rPr>
          <w:rFonts w:hint="eastAsia" w:ascii="宋体" w:hAnsi="宋体"/>
          <w:color w:val="auto"/>
          <w:sz w:val="24"/>
          <w:highlight w:val="none"/>
          <w:lang w:val="en-US" w:eastAsia="zh-CN"/>
        </w:rPr>
        <w:t>12.3</w:t>
      </w:r>
      <w:r>
        <w:rPr>
          <w:rFonts w:hint="eastAsia" w:ascii="宋体" w:hAnsi="宋体"/>
          <w:color w:val="auto"/>
          <w:sz w:val="24"/>
          <w:highlight w:val="none"/>
          <w:lang w:val="en-GB"/>
        </w:rPr>
        <w:t>如果</w:t>
      </w:r>
      <w:r>
        <w:rPr>
          <w:rFonts w:hint="eastAsia" w:ascii="宋体" w:hAnsi="宋体"/>
          <w:color w:val="auto"/>
          <w:sz w:val="24"/>
          <w:highlight w:val="none"/>
          <w:lang w:val="en-GB" w:eastAsia="zh-CN"/>
        </w:rPr>
        <w:t>投标人</w:t>
      </w:r>
      <w:r>
        <w:rPr>
          <w:rFonts w:hint="eastAsia" w:ascii="宋体" w:hAnsi="宋体"/>
          <w:color w:val="auto"/>
          <w:sz w:val="24"/>
          <w:highlight w:val="none"/>
          <w:lang w:val="en-GB"/>
        </w:rPr>
        <w:t>在中标并签署合同后，在提供招标范围内的服务工作中出现的任何遗漏，均由中标人免费提供，</w:t>
      </w:r>
      <w:r>
        <w:rPr>
          <w:rFonts w:hint="eastAsia" w:ascii="宋体" w:hAnsi="宋体"/>
          <w:color w:val="auto"/>
          <w:sz w:val="24"/>
          <w:highlight w:val="none"/>
          <w:lang w:val="en-GB" w:eastAsia="zh-CN"/>
        </w:rPr>
        <w:t>招标人</w:t>
      </w:r>
      <w:r>
        <w:rPr>
          <w:rFonts w:hint="eastAsia" w:ascii="宋体" w:hAnsi="宋体"/>
          <w:color w:val="auto"/>
          <w:sz w:val="24"/>
          <w:highlight w:val="none"/>
          <w:lang w:val="en-GB"/>
        </w:rPr>
        <w:t>将不再支付任何费用。</w:t>
      </w:r>
    </w:p>
    <w:p>
      <w:pPr>
        <w:numPr>
          <w:ilvl w:val="0"/>
          <w:numId w:val="0"/>
        </w:numPr>
        <w:tabs>
          <w:tab w:val="left" w:pos="540"/>
        </w:tabs>
        <w:spacing w:line="360" w:lineRule="auto"/>
        <w:ind w:left="480" w:hanging="480" w:hangingChars="200"/>
        <w:rPr>
          <w:rFonts w:hint="eastAsia" w:ascii="宋体" w:hAnsi="宋体"/>
          <w:color w:val="auto"/>
          <w:sz w:val="24"/>
          <w:highlight w:val="none"/>
          <w:lang w:val="en-GB"/>
        </w:rPr>
      </w:pPr>
      <w:r>
        <w:rPr>
          <w:rFonts w:hint="eastAsia" w:ascii="宋体" w:hAnsi="宋体"/>
          <w:color w:val="auto"/>
          <w:sz w:val="24"/>
          <w:highlight w:val="none"/>
          <w:lang w:val="en-US" w:eastAsia="zh-CN"/>
        </w:rPr>
        <w:t>12.4</w:t>
      </w:r>
      <w:r>
        <w:rPr>
          <w:rFonts w:hint="eastAsia" w:ascii="宋体" w:hAnsi="宋体"/>
          <w:color w:val="auto"/>
          <w:sz w:val="24"/>
          <w:highlight w:val="none"/>
          <w:lang w:val="en-GB"/>
        </w:rPr>
        <w:t>合同项下，</w:t>
      </w:r>
      <w:r>
        <w:rPr>
          <w:rFonts w:hint="eastAsia" w:ascii="宋体" w:hAnsi="宋体"/>
          <w:color w:val="auto"/>
          <w:sz w:val="24"/>
          <w:highlight w:val="none"/>
          <w:lang w:val="en-GB" w:eastAsia="zh-CN"/>
        </w:rPr>
        <w:t>招标人</w:t>
      </w:r>
      <w:r>
        <w:rPr>
          <w:rFonts w:hint="eastAsia" w:ascii="宋体" w:hAnsi="宋体"/>
          <w:color w:val="auto"/>
          <w:sz w:val="24"/>
          <w:highlight w:val="none"/>
          <w:lang w:val="en-GB"/>
        </w:rPr>
        <w:t>需要的货物和附带备品、配件所需的费用，如果</w:t>
      </w:r>
      <w:r>
        <w:rPr>
          <w:rFonts w:hint="eastAsia" w:ascii="宋体" w:hAnsi="宋体"/>
          <w:color w:val="auto"/>
          <w:sz w:val="24"/>
          <w:highlight w:val="none"/>
          <w:lang w:val="en-GB" w:eastAsia="zh-CN"/>
        </w:rPr>
        <w:t>投标人</w:t>
      </w:r>
      <w:r>
        <w:rPr>
          <w:rFonts w:hint="eastAsia" w:ascii="宋体" w:hAnsi="宋体"/>
          <w:color w:val="auto"/>
          <w:sz w:val="24"/>
          <w:highlight w:val="none"/>
          <w:lang w:val="en-GB"/>
        </w:rPr>
        <w:t>是另外单独报价，且未计入</w:t>
      </w:r>
      <w:r>
        <w:rPr>
          <w:rFonts w:hint="eastAsia" w:ascii="宋体" w:hAnsi="宋体"/>
          <w:color w:val="auto"/>
          <w:sz w:val="24"/>
          <w:highlight w:val="none"/>
          <w:lang w:val="en-GB" w:eastAsia="zh-CN"/>
        </w:rPr>
        <w:t>竞投</w:t>
      </w:r>
      <w:r>
        <w:rPr>
          <w:rFonts w:hint="eastAsia" w:ascii="宋体" w:hAnsi="宋体"/>
          <w:color w:val="auto"/>
          <w:sz w:val="24"/>
          <w:highlight w:val="none"/>
          <w:lang w:val="en-GB"/>
        </w:rPr>
        <w:t>总价内的</w:t>
      </w:r>
      <w:r>
        <w:rPr>
          <w:rFonts w:hint="eastAsia" w:ascii="宋体" w:hAnsi="宋体"/>
          <w:color w:val="auto"/>
          <w:sz w:val="24"/>
          <w:highlight w:val="none"/>
          <w:lang w:val="en-GB" w:eastAsia="zh-CN"/>
        </w:rPr>
        <w:t>投标人将被取消资格</w:t>
      </w:r>
      <w:r>
        <w:rPr>
          <w:rFonts w:hint="eastAsia" w:ascii="宋体" w:hAnsi="宋体"/>
          <w:color w:val="auto"/>
          <w:sz w:val="24"/>
          <w:highlight w:val="none"/>
          <w:lang w:val="en-GB"/>
        </w:rPr>
        <w:t>。</w:t>
      </w:r>
    </w:p>
    <w:p>
      <w:pPr>
        <w:numPr>
          <w:ilvl w:val="0"/>
          <w:numId w:val="0"/>
        </w:numPr>
        <w:tabs>
          <w:tab w:val="left" w:pos="540"/>
        </w:tabs>
        <w:spacing w:line="360" w:lineRule="auto"/>
        <w:ind w:left="480" w:hanging="480" w:hangingChars="200"/>
        <w:rPr>
          <w:rFonts w:hint="eastAsia" w:ascii="宋体" w:hAnsi="宋体"/>
          <w:color w:val="auto"/>
          <w:sz w:val="24"/>
          <w:highlight w:val="none"/>
          <w:lang w:val="en-GB"/>
        </w:rPr>
      </w:pPr>
      <w:r>
        <w:rPr>
          <w:rFonts w:hint="eastAsia" w:ascii="宋体" w:hAnsi="宋体"/>
          <w:color w:val="auto"/>
          <w:sz w:val="24"/>
          <w:highlight w:val="none"/>
          <w:lang w:val="en-US" w:eastAsia="zh-CN"/>
        </w:rPr>
        <w:t>12.5</w:t>
      </w:r>
      <w:r>
        <w:rPr>
          <w:rFonts w:hint="eastAsia" w:ascii="宋体" w:hAnsi="宋体"/>
          <w:color w:val="auto"/>
          <w:sz w:val="24"/>
          <w:highlight w:val="none"/>
          <w:lang w:val="en-GB" w:eastAsia="zh-CN"/>
        </w:rPr>
        <w:t>投标人</w:t>
      </w:r>
      <w:r>
        <w:rPr>
          <w:rFonts w:hint="eastAsia" w:ascii="宋体" w:hAnsi="宋体"/>
          <w:color w:val="auto"/>
          <w:sz w:val="24"/>
          <w:highlight w:val="none"/>
          <w:lang w:val="en-GB"/>
        </w:rPr>
        <w:t>应根据企业自身实力、费用指标，本项目</w:t>
      </w:r>
      <w:r>
        <w:rPr>
          <w:rFonts w:hint="eastAsia" w:ascii="宋体" w:hAnsi="宋体"/>
          <w:color w:val="auto"/>
          <w:sz w:val="24"/>
          <w:highlight w:val="none"/>
          <w:lang w:val="en-GB" w:eastAsia="zh-CN"/>
        </w:rPr>
        <w:t>竞投文件</w:t>
      </w:r>
      <w:r>
        <w:rPr>
          <w:rFonts w:hint="eastAsia" w:ascii="宋体" w:hAnsi="宋体"/>
          <w:color w:val="auto"/>
          <w:sz w:val="24"/>
          <w:highlight w:val="none"/>
          <w:lang w:val="en-GB"/>
        </w:rPr>
        <w:t>、主要合同条款、现场踏勘及市场情况、风险因素和拟采用的服务方案等进行自主报价，</w:t>
      </w:r>
      <w:r>
        <w:rPr>
          <w:rFonts w:hint="eastAsia" w:ascii="宋体" w:hAnsi="宋体"/>
          <w:color w:val="auto"/>
          <w:sz w:val="24"/>
          <w:highlight w:val="none"/>
          <w:lang w:val="en-GB" w:eastAsia="zh-CN"/>
        </w:rPr>
        <w:t>竞投</w:t>
      </w:r>
      <w:r>
        <w:rPr>
          <w:rFonts w:hint="eastAsia" w:ascii="宋体" w:hAnsi="宋体"/>
          <w:color w:val="auto"/>
          <w:sz w:val="24"/>
          <w:highlight w:val="none"/>
          <w:lang w:val="en-GB"/>
        </w:rPr>
        <w:t>报价应是完成本</w:t>
      </w:r>
      <w:r>
        <w:rPr>
          <w:rFonts w:hint="eastAsia" w:ascii="宋体" w:hAnsi="宋体"/>
          <w:color w:val="auto"/>
          <w:sz w:val="24"/>
          <w:highlight w:val="none"/>
          <w:lang w:val="en-GB" w:eastAsia="zh-CN"/>
        </w:rPr>
        <w:t>竞投文件</w:t>
      </w:r>
      <w:r>
        <w:rPr>
          <w:rFonts w:hint="eastAsia" w:ascii="宋体" w:hAnsi="宋体"/>
          <w:color w:val="auto"/>
          <w:sz w:val="24"/>
          <w:highlight w:val="none"/>
          <w:lang w:val="en-GB"/>
        </w:rPr>
        <w:t>和合同条款上所列招标范围及工期等内容的全部，不得以任何理由予以重复，作为</w:t>
      </w:r>
      <w:r>
        <w:rPr>
          <w:rFonts w:hint="eastAsia" w:ascii="宋体" w:hAnsi="宋体"/>
          <w:color w:val="auto"/>
          <w:sz w:val="24"/>
          <w:highlight w:val="none"/>
          <w:lang w:val="en-GB" w:eastAsia="zh-CN"/>
        </w:rPr>
        <w:t>投标人</w:t>
      </w:r>
      <w:r>
        <w:rPr>
          <w:rFonts w:hint="eastAsia" w:ascii="宋体" w:hAnsi="宋体"/>
          <w:color w:val="auto"/>
          <w:sz w:val="24"/>
          <w:highlight w:val="none"/>
          <w:lang w:val="en-GB"/>
        </w:rPr>
        <w:t>计算单价或总价的依据。</w:t>
      </w:r>
    </w:p>
    <w:p>
      <w:pPr>
        <w:numPr>
          <w:ilvl w:val="0"/>
          <w:numId w:val="0"/>
        </w:numPr>
        <w:tabs>
          <w:tab w:val="left" w:pos="540"/>
        </w:tabs>
        <w:spacing w:line="360" w:lineRule="auto"/>
        <w:ind w:left="480" w:hanging="480" w:hangingChars="200"/>
        <w:rPr>
          <w:rFonts w:hint="eastAsia" w:ascii="宋体" w:hAnsi="宋体"/>
          <w:color w:val="auto"/>
          <w:sz w:val="24"/>
          <w:highlight w:val="none"/>
          <w:lang w:val="en-GB"/>
        </w:rPr>
      </w:pPr>
      <w:r>
        <w:rPr>
          <w:rFonts w:hint="eastAsia" w:ascii="宋体" w:hAnsi="宋体"/>
          <w:color w:val="auto"/>
          <w:sz w:val="24"/>
          <w:highlight w:val="none"/>
          <w:lang w:val="en-US" w:eastAsia="zh-CN"/>
        </w:rPr>
        <w:t>12.6</w:t>
      </w:r>
      <w:r>
        <w:rPr>
          <w:rFonts w:hint="eastAsia" w:ascii="宋体" w:hAnsi="宋体"/>
          <w:color w:val="auto"/>
          <w:sz w:val="24"/>
          <w:highlight w:val="none"/>
          <w:lang w:val="en-GB" w:eastAsia="zh-CN"/>
        </w:rPr>
        <w:t>招标人</w:t>
      </w:r>
      <w:r>
        <w:rPr>
          <w:rFonts w:hint="eastAsia" w:ascii="宋体" w:hAnsi="宋体"/>
          <w:color w:val="auto"/>
          <w:sz w:val="24"/>
          <w:highlight w:val="none"/>
          <w:lang w:val="en-GB"/>
        </w:rPr>
        <w:t>有权根据项目实际需要对服务方案进行优化，由于服务方案的优化所造成增加或减</w:t>
      </w:r>
      <w:r>
        <w:rPr>
          <w:rFonts w:hint="eastAsia" w:ascii="宋体" w:hAnsi="宋体"/>
          <w:color w:val="auto"/>
          <w:sz w:val="24"/>
          <w:highlight w:val="none"/>
          <w:lang w:val="en-GB" w:eastAsia="zh-CN"/>
        </w:rPr>
        <w:t>小部分</w:t>
      </w:r>
      <w:r>
        <w:rPr>
          <w:rFonts w:hint="eastAsia" w:ascii="宋体" w:hAnsi="宋体"/>
          <w:color w:val="auto"/>
          <w:sz w:val="24"/>
          <w:highlight w:val="none"/>
          <w:lang w:val="en-GB"/>
        </w:rPr>
        <w:t>内容，</w:t>
      </w:r>
      <w:r>
        <w:rPr>
          <w:rFonts w:hint="eastAsia" w:ascii="宋体" w:hAnsi="宋体"/>
          <w:color w:val="auto"/>
          <w:sz w:val="24"/>
          <w:highlight w:val="none"/>
          <w:lang w:val="en-GB" w:eastAsia="zh-CN"/>
        </w:rPr>
        <w:t>投标人</w:t>
      </w:r>
      <w:r>
        <w:rPr>
          <w:rFonts w:hint="eastAsia" w:ascii="宋体" w:hAnsi="宋体"/>
          <w:color w:val="auto"/>
          <w:sz w:val="24"/>
          <w:highlight w:val="none"/>
          <w:lang w:val="en-GB"/>
        </w:rPr>
        <w:t>必须无条件接受，不得拒绝或要求调整任何收费。如果方案优化后，有部分服务内容超越了本项目中标单位的服务范围，则该部分内容</w:t>
      </w:r>
      <w:r>
        <w:rPr>
          <w:rFonts w:hint="eastAsia" w:ascii="宋体" w:hAnsi="宋体"/>
          <w:color w:val="auto"/>
          <w:sz w:val="24"/>
          <w:highlight w:val="none"/>
          <w:lang w:val="en-GB" w:eastAsia="zh-CN"/>
        </w:rPr>
        <w:t>招标人</w:t>
      </w:r>
      <w:r>
        <w:rPr>
          <w:rFonts w:hint="eastAsia" w:ascii="宋体" w:hAnsi="宋体"/>
          <w:color w:val="auto"/>
          <w:sz w:val="24"/>
          <w:highlight w:val="none"/>
          <w:lang w:val="en-GB"/>
        </w:rPr>
        <w:t>有权另行组织采购。</w:t>
      </w:r>
    </w:p>
    <w:p>
      <w:pPr>
        <w:numPr>
          <w:ilvl w:val="0"/>
          <w:numId w:val="23"/>
        </w:numPr>
        <w:tabs>
          <w:tab w:val="left" w:pos="540"/>
        </w:tabs>
        <w:spacing w:before="120" w:beforeLines="50" w:line="374" w:lineRule="auto"/>
        <w:ind w:left="420" w:leftChars="0" w:hanging="420" w:firstLineChars="0"/>
        <w:rPr>
          <w:rFonts w:ascii="宋体"/>
          <w:b/>
          <w:color w:val="auto"/>
          <w:sz w:val="24"/>
          <w:highlight w:val="none"/>
          <w:lang w:val="zh-CN"/>
        </w:rPr>
      </w:pPr>
      <w:r>
        <w:rPr>
          <w:rFonts w:hint="eastAsia" w:ascii="宋体" w:hAnsi="宋体"/>
          <w:b/>
          <w:color w:val="auto"/>
          <w:sz w:val="24"/>
          <w:highlight w:val="none"/>
          <w:lang w:val="zh-CN"/>
        </w:rPr>
        <w:t>竞投保证金</w:t>
      </w:r>
    </w:p>
    <w:p>
      <w:pPr>
        <w:numPr>
          <w:ilvl w:val="0"/>
          <w:numId w:val="0"/>
        </w:numPr>
        <w:tabs>
          <w:tab w:val="left" w:pos="540"/>
        </w:tabs>
        <w:spacing w:line="360" w:lineRule="auto"/>
        <w:ind w:left="480" w:hanging="480" w:hangingChars="200"/>
        <w:rPr>
          <w:rFonts w:hint="eastAsia" w:ascii="宋体" w:hAnsi="宋体"/>
          <w:color w:val="auto"/>
          <w:sz w:val="24"/>
          <w:highlight w:val="none"/>
          <w:lang w:val="en-GB" w:eastAsia="zh-CN"/>
        </w:rPr>
      </w:pPr>
      <w:r>
        <w:rPr>
          <w:rFonts w:hint="eastAsia" w:ascii="宋体" w:hAnsi="宋体"/>
          <w:color w:val="auto"/>
          <w:sz w:val="24"/>
          <w:highlight w:val="none"/>
          <w:lang w:val="zh-CN" w:eastAsia="zh-CN"/>
        </w:rPr>
        <w:t>本项目需提交竞投保证金：</w:t>
      </w:r>
      <w:r>
        <w:rPr>
          <w:rFonts w:hint="eastAsia" w:ascii="宋体" w:hAnsi="宋体"/>
          <w:color w:val="auto"/>
          <w:sz w:val="24"/>
          <w:highlight w:val="none"/>
          <w:lang w:val="en-US" w:eastAsia="zh-CN"/>
        </w:rPr>
        <w:t>人民币5万元</w:t>
      </w:r>
      <w:r>
        <w:rPr>
          <w:rFonts w:hint="eastAsia" w:ascii="宋体" w:hAnsi="宋体"/>
          <w:color w:val="auto"/>
          <w:sz w:val="24"/>
          <w:highlight w:val="none"/>
          <w:lang w:val="en-GB" w:eastAsia="zh-CN"/>
        </w:rPr>
        <w:t>。</w:t>
      </w:r>
    </w:p>
    <w:p>
      <w:pPr>
        <w:numPr>
          <w:ilvl w:val="0"/>
          <w:numId w:val="0"/>
        </w:numPr>
        <w:tabs>
          <w:tab w:val="left" w:pos="540"/>
        </w:tabs>
        <w:spacing w:line="360" w:lineRule="auto"/>
        <w:ind w:left="480" w:hanging="480" w:hangingChars="200"/>
        <w:rPr>
          <w:rFonts w:hint="eastAsia" w:ascii="宋体" w:hAnsi="宋体"/>
          <w:color w:val="auto"/>
          <w:sz w:val="24"/>
          <w:highlight w:val="none"/>
          <w:lang w:val="zh-CN" w:eastAsia="zh-CN"/>
        </w:rPr>
      </w:pPr>
      <w:r>
        <w:rPr>
          <w:rFonts w:hint="eastAsia" w:ascii="宋体" w:hAnsi="宋体"/>
          <w:color w:val="auto"/>
          <w:sz w:val="24"/>
          <w:highlight w:val="none"/>
          <w:lang w:val="en-US" w:eastAsia="zh-CN"/>
        </w:rPr>
        <w:t>13.1</w:t>
      </w:r>
      <w:r>
        <w:rPr>
          <w:rFonts w:hint="eastAsia" w:ascii="宋体" w:hAnsi="宋体"/>
          <w:color w:val="auto"/>
          <w:sz w:val="24"/>
          <w:highlight w:val="none"/>
          <w:lang w:val="zh-CN" w:eastAsia="zh-CN"/>
        </w:rPr>
        <w:t>对约定需要交纳竞投保证金时，投标人应在竞投截止时间前按竞投文件要求交纳竞投保证金，并作为其竞投的一部分。竞投保证金应以投标人名义按竞投须知前附表的要求递交。</w:t>
      </w:r>
    </w:p>
    <w:p>
      <w:pPr>
        <w:tabs>
          <w:tab w:val="left" w:pos="540"/>
        </w:tabs>
        <w:spacing w:line="374" w:lineRule="auto"/>
        <w:ind w:firstLine="482" w:firstLineChars="200"/>
        <w:rPr>
          <w:color w:val="auto"/>
          <w:sz w:val="24"/>
          <w:highlight w:val="none"/>
          <w:lang w:val="zh-CN"/>
        </w:rPr>
      </w:pPr>
      <w:r>
        <w:rPr>
          <w:rFonts w:hint="eastAsia"/>
          <w:b/>
          <w:bCs/>
          <w:color w:val="auto"/>
          <w:sz w:val="24"/>
          <w:highlight w:val="none"/>
          <w:lang w:val="zh-CN"/>
        </w:rPr>
        <w:t>凡没有按照本须知第</w:t>
      </w:r>
      <w:r>
        <w:rPr>
          <w:b/>
          <w:bCs/>
          <w:color w:val="auto"/>
          <w:sz w:val="24"/>
          <w:highlight w:val="none"/>
          <w:lang w:val="zh-CN"/>
        </w:rPr>
        <w:t>1</w:t>
      </w:r>
      <w:r>
        <w:rPr>
          <w:rFonts w:hint="eastAsia"/>
          <w:b/>
          <w:bCs/>
          <w:color w:val="auto"/>
          <w:sz w:val="24"/>
          <w:highlight w:val="none"/>
          <w:lang w:val="en-US" w:eastAsia="zh-CN"/>
        </w:rPr>
        <w:t>3</w:t>
      </w:r>
      <w:r>
        <w:rPr>
          <w:b/>
          <w:bCs/>
          <w:color w:val="auto"/>
          <w:sz w:val="24"/>
          <w:highlight w:val="none"/>
          <w:lang w:val="zh-CN"/>
        </w:rPr>
        <w:t>.1</w:t>
      </w:r>
      <w:r>
        <w:rPr>
          <w:rFonts w:hint="eastAsia"/>
          <w:b/>
          <w:bCs/>
          <w:color w:val="auto"/>
          <w:sz w:val="24"/>
          <w:highlight w:val="none"/>
          <w:lang w:val="zh-CN"/>
        </w:rPr>
        <w:t>条的规定随附有效的竞投保证金的竞投，视为资格审查不合格，被拒绝参加竞投。</w:t>
      </w:r>
    </w:p>
    <w:p>
      <w:pPr>
        <w:numPr>
          <w:ilvl w:val="0"/>
          <w:numId w:val="0"/>
        </w:numPr>
        <w:tabs>
          <w:tab w:val="left" w:pos="540"/>
        </w:tabs>
        <w:spacing w:line="360" w:lineRule="auto"/>
        <w:ind w:left="480" w:hanging="480" w:hangingChars="200"/>
        <w:rPr>
          <w:rFonts w:hint="eastAsia" w:ascii="宋体" w:hAnsi="宋体"/>
          <w:color w:val="auto"/>
          <w:sz w:val="24"/>
          <w:highlight w:val="none"/>
          <w:lang w:val="zh-CN" w:eastAsia="zh-CN"/>
        </w:rPr>
      </w:pPr>
      <w:r>
        <w:rPr>
          <w:rFonts w:hint="eastAsia" w:ascii="宋体" w:hAnsi="宋体"/>
          <w:color w:val="auto"/>
          <w:sz w:val="24"/>
          <w:highlight w:val="none"/>
          <w:lang w:val="en-US" w:eastAsia="zh-CN"/>
        </w:rPr>
        <w:t>13.2</w:t>
      </w:r>
      <w:r>
        <w:rPr>
          <w:rFonts w:hint="eastAsia" w:ascii="宋体" w:hAnsi="宋体"/>
          <w:color w:val="auto"/>
          <w:sz w:val="24"/>
          <w:highlight w:val="none"/>
          <w:lang w:val="zh-CN" w:eastAsia="zh-CN"/>
        </w:rPr>
        <w:t>竞投保证金是用于保护本次招标免受投标人的行为而引起的风险，下列任何一种情况发生时，不予退还竞投保证金，因此而造成招标人的损失须由投标人承担：</w:t>
      </w:r>
    </w:p>
    <w:p>
      <w:pPr>
        <w:numPr>
          <w:ilvl w:val="1"/>
          <w:numId w:val="27"/>
        </w:numPr>
        <w:tabs>
          <w:tab w:val="left" w:pos="900"/>
          <w:tab w:val="clear" w:pos="840"/>
        </w:tabs>
        <w:spacing w:line="374" w:lineRule="auto"/>
        <w:ind w:left="900" w:hanging="360"/>
        <w:rPr>
          <w:rFonts w:ascii="宋体"/>
          <w:color w:val="auto"/>
          <w:sz w:val="24"/>
          <w:highlight w:val="none"/>
        </w:rPr>
      </w:pPr>
      <w:r>
        <w:rPr>
          <w:rFonts w:hint="eastAsia" w:ascii="宋体" w:hAnsi="宋体"/>
          <w:color w:val="auto"/>
          <w:sz w:val="24"/>
          <w:highlight w:val="none"/>
          <w:lang w:eastAsia="zh-CN"/>
        </w:rPr>
        <w:t>资格审查</w:t>
      </w:r>
      <w:r>
        <w:rPr>
          <w:rFonts w:hint="eastAsia" w:ascii="宋体" w:hAnsi="宋体"/>
          <w:color w:val="auto"/>
          <w:sz w:val="24"/>
          <w:highlight w:val="none"/>
        </w:rPr>
        <w:t>文件中提供伪造、虚假的材料；</w:t>
      </w:r>
    </w:p>
    <w:p>
      <w:pPr>
        <w:numPr>
          <w:ilvl w:val="1"/>
          <w:numId w:val="27"/>
        </w:numPr>
        <w:tabs>
          <w:tab w:val="left" w:pos="900"/>
          <w:tab w:val="clear" w:pos="840"/>
        </w:tabs>
        <w:spacing w:line="374" w:lineRule="auto"/>
        <w:ind w:left="900" w:hanging="360"/>
        <w:rPr>
          <w:rFonts w:asci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lang w:eastAsia="zh-CN"/>
        </w:rPr>
        <w:t>资格审查</w:t>
      </w:r>
      <w:r>
        <w:rPr>
          <w:rFonts w:hint="eastAsia" w:ascii="宋体" w:hAnsi="宋体"/>
          <w:color w:val="auto"/>
          <w:sz w:val="24"/>
          <w:highlight w:val="none"/>
        </w:rPr>
        <w:t>期间，使用不正当手段试图影响、改变</w:t>
      </w:r>
      <w:r>
        <w:rPr>
          <w:rFonts w:hint="eastAsia" w:ascii="宋体" w:hAnsi="宋体"/>
          <w:color w:val="auto"/>
          <w:sz w:val="24"/>
          <w:highlight w:val="none"/>
          <w:lang w:eastAsia="zh-CN"/>
        </w:rPr>
        <w:t>资格审查</w:t>
      </w:r>
      <w:r>
        <w:rPr>
          <w:rFonts w:hint="eastAsia" w:ascii="宋体" w:hAnsi="宋体"/>
          <w:color w:val="auto"/>
          <w:sz w:val="24"/>
          <w:highlight w:val="none"/>
        </w:rPr>
        <w:t>结果；</w:t>
      </w:r>
    </w:p>
    <w:p>
      <w:pPr>
        <w:numPr>
          <w:ilvl w:val="1"/>
          <w:numId w:val="27"/>
        </w:numPr>
        <w:tabs>
          <w:tab w:val="left" w:pos="900"/>
          <w:tab w:val="clear" w:pos="840"/>
        </w:tabs>
        <w:spacing w:line="374" w:lineRule="auto"/>
        <w:ind w:left="900" w:hanging="360"/>
        <w:rPr>
          <w:rFonts w:ascii="宋体"/>
          <w:color w:val="auto"/>
          <w:sz w:val="24"/>
          <w:highlight w:val="none"/>
          <w:lang w:val="zh-CN"/>
        </w:rPr>
      </w:pPr>
      <w:r>
        <w:rPr>
          <w:rFonts w:hint="eastAsia" w:ascii="宋体" w:hAnsi="宋体"/>
          <w:color w:val="auto"/>
          <w:sz w:val="24"/>
          <w:highlight w:val="none"/>
        </w:rPr>
        <w:t>恶意串通或捏造事实，对其竞争对手进行诋毁、排挤、攻击；</w:t>
      </w:r>
    </w:p>
    <w:p>
      <w:pPr>
        <w:numPr>
          <w:ilvl w:val="1"/>
          <w:numId w:val="27"/>
        </w:numPr>
        <w:tabs>
          <w:tab w:val="left" w:pos="900"/>
          <w:tab w:val="clear" w:pos="840"/>
        </w:tabs>
        <w:spacing w:line="374" w:lineRule="auto"/>
        <w:ind w:left="900" w:hanging="360"/>
        <w:rPr>
          <w:rFonts w:ascii="宋体"/>
          <w:color w:val="auto"/>
          <w:sz w:val="24"/>
          <w:highlight w:val="none"/>
          <w:lang w:val="zh-CN"/>
        </w:rPr>
      </w:pPr>
      <w:r>
        <w:rPr>
          <w:rFonts w:hint="eastAsia" w:ascii="宋体" w:hAnsi="宋体"/>
          <w:color w:val="auto"/>
          <w:sz w:val="24"/>
          <w:highlight w:val="none"/>
          <w:lang w:val="zh-CN"/>
        </w:rPr>
        <w:t>中标人在规定期限内未能根据《竞投文件》要求或《中标通知书》的规定签订合同</w:t>
      </w:r>
      <w:r>
        <w:rPr>
          <w:rFonts w:hint="eastAsia" w:ascii="宋体" w:hAnsi="宋体"/>
          <w:color w:val="auto"/>
          <w:sz w:val="24"/>
          <w:highlight w:val="none"/>
        </w:rPr>
        <w:t>，或拒绝、拖延、没有完全履行</w:t>
      </w:r>
      <w:r>
        <w:rPr>
          <w:rFonts w:hint="eastAsia" w:ascii="宋体" w:hAnsi="宋体"/>
          <w:color w:val="auto"/>
          <w:sz w:val="24"/>
          <w:highlight w:val="none"/>
          <w:lang w:eastAsia="zh-CN"/>
        </w:rPr>
        <w:t>竞投</w:t>
      </w:r>
      <w:r>
        <w:rPr>
          <w:rFonts w:hint="eastAsia" w:ascii="宋体" w:hAnsi="宋体"/>
          <w:color w:val="auto"/>
          <w:sz w:val="24"/>
          <w:highlight w:val="none"/>
        </w:rPr>
        <w:t>承诺（不可抗力除外）；</w:t>
      </w:r>
    </w:p>
    <w:p>
      <w:pPr>
        <w:numPr>
          <w:ilvl w:val="1"/>
          <w:numId w:val="27"/>
        </w:numPr>
        <w:tabs>
          <w:tab w:val="left" w:pos="900"/>
          <w:tab w:val="clear" w:pos="840"/>
        </w:tabs>
        <w:spacing w:line="374" w:lineRule="auto"/>
        <w:ind w:left="900" w:hanging="360"/>
        <w:rPr>
          <w:rFonts w:ascii="宋体"/>
          <w:color w:val="auto"/>
          <w:sz w:val="24"/>
          <w:highlight w:val="none"/>
          <w:lang w:val="zh-CN"/>
        </w:rPr>
      </w:pPr>
      <w:r>
        <w:rPr>
          <w:rFonts w:hint="eastAsia" w:ascii="宋体" w:hAnsi="宋体"/>
          <w:color w:val="auto"/>
          <w:sz w:val="24"/>
          <w:highlight w:val="none"/>
          <w:lang w:val="zh-CN"/>
        </w:rPr>
        <w:t>中标后未按竞投文件中的规定缴付招标代理费和评估费；</w:t>
      </w:r>
    </w:p>
    <w:p>
      <w:pPr>
        <w:numPr>
          <w:ilvl w:val="1"/>
          <w:numId w:val="27"/>
        </w:numPr>
        <w:tabs>
          <w:tab w:val="left" w:pos="900"/>
          <w:tab w:val="clear" w:pos="840"/>
        </w:tabs>
        <w:spacing w:line="374" w:lineRule="auto"/>
        <w:ind w:left="900" w:hanging="360"/>
        <w:rPr>
          <w:rFonts w:ascii="宋体"/>
          <w:color w:val="auto"/>
          <w:sz w:val="24"/>
          <w:highlight w:val="none"/>
        </w:rPr>
      </w:pPr>
      <w:r>
        <w:rPr>
          <w:rFonts w:hint="eastAsia" w:ascii="宋体" w:hAnsi="宋体"/>
          <w:color w:val="auto"/>
          <w:sz w:val="24"/>
          <w:highlight w:val="none"/>
        </w:rPr>
        <w:t>擅自将中标项目或主体关键性内容分包转让他人；</w:t>
      </w:r>
    </w:p>
    <w:p>
      <w:pPr>
        <w:numPr>
          <w:ilvl w:val="1"/>
          <w:numId w:val="27"/>
        </w:numPr>
        <w:tabs>
          <w:tab w:val="left" w:pos="900"/>
          <w:tab w:val="clear" w:pos="840"/>
        </w:tabs>
        <w:spacing w:line="374" w:lineRule="auto"/>
        <w:ind w:left="900" w:hanging="360"/>
        <w:rPr>
          <w:rFonts w:ascii="宋体"/>
          <w:color w:val="auto"/>
          <w:sz w:val="24"/>
          <w:highlight w:val="none"/>
          <w:lang w:val="zh-CN"/>
        </w:rPr>
      </w:pPr>
      <w:r>
        <w:rPr>
          <w:rFonts w:hint="eastAsia" w:ascii="宋体" w:hAnsi="宋体"/>
          <w:color w:val="auto"/>
          <w:sz w:val="24"/>
          <w:highlight w:val="none"/>
        </w:rPr>
        <w:t>获中标通知后，无法如期履行承诺按</w:t>
      </w:r>
      <w:r>
        <w:rPr>
          <w:rFonts w:hint="eastAsia" w:ascii="宋体" w:hAnsi="宋体"/>
          <w:color w:val="auto"/>
          <w:sz w:val="24"/>
          <w:highlight w:val="none"/>
          <w:lang w:eastAsia="zh-CN"/>
        </w:rPr>
        <w:t>招标人</w:t>
      </w:r>
      <w:r>
        <w:rPr>
          <w:rFonts w:hint="eastAsia" w:ascii="宋体" w:hAnsi="宋体"/>
          <w:color w:val="auto"/>
          <w:sz w:val="24"/>
          <w:highlight w:val="none"/>
        </w:rPr>
        <w:t>的要求提供合法有效的重要证明材料原件；</w:t>
      </w:r>
    </w:p>
    <w:p>
      <w:pPr>
        <w:numPr>
          <w:ilvl w:val="1"/>
          <w:numId w:val="27"/>
        </w:numPr>
        <w:tabs>
          <w:tab w:val="left" w:pos="900"/>
          <w:tab w:val="clear" w:pos="840"/>
        </w:tabs>
        <w:spacing w:line="374" w:lineRule="auto"/>
        <w:ind w:left="900" w:hanging="360"/>
        <w:rPr>
          <w:rFonts w:ascii="宋体"/>
          <w:color w:val="auto"/>
          <w:sz w:val="24"/>
          <w:highlight w:val="none"/>
          <w:lang w:val="zh-CN"/>
        </w:rPr>
      </w:pPr>
      <w:r>
        <w:rPr>
          <w:rFonts w:hint="eastAsia" w:ascii="宋体" w:hAnsi="宋体"/>
          <w:color w:val="auto"/>
          <w:sz w:val="24"/>
          <w:highlight w:val="none"/>
          <w:lang w:val="zh-CN"/>
        </w:rPr>
        <w:t>有违反国家有关法律法规的行为。</w:t>
      </w:r>
    </w:p>
    <w:p>
      <w:pPr>
        <w:numPr>
          <w:ilvl w:val="0"/>
          <w:numId w:val="0"/>
        </w:numPr>
        <w:tabs>
          <w:tab w:val="left" w:pos="540"/>
        </w:tabs>
        <w:spacing w:line="360" w:lineRule="auto"/>
        <w:ind w:left="480" w:hanging="480" w:hanging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en-US" w:eastAsia="zh-CN"/>
        </w:rPr>
        <w:t>13.3</w:t>
      </w:r>
      <w:r>
        <w:rPr>
          <w:rFonts w:hint="eastAsia" w:asciiTheme="minorEastAsia" w:hAnsiTheme="minorEastAsia" w:eastAsiaTheme="minorEastAsia" w:cstheme="minorEastAsia"/>
          <w:color w:val="auto"/>
          <w:sz w:val="24"/>
          <w:highlight w:val="none"/>
          <w:lang w:val="zh-CN"/>
        </w:rPr>
        <w:t>未中标的投标人的竞投保证金，于</w:t>
      </w:r>
      <w:r>
        <w:rPr>
          <w:rFonts w:hint="eastAsia" w:asciiTheme="minorEastAsia" w:hAnsiTheme="minorEastAsia" w:eastAsiaTheme="minorEastAsia" w:cstheme="minorEastAsia"/>
          <w:color w:val="auto"/>
          <w:sz w:val="24"/>
          <w:highlight w:val="none"/>
          <w:lang w:val="en-GB"/>
        </w:rPr>
        <w:t>中标通知书发出后</w:t>
      </w:r>
      <w:r>
        <w:rPr>
          <w:rFonts w:hint="eastAsia" w:asciiTheme="minorEastAsia" w:hAnsiTheme="minorEastAsia" w:eastAsiaTheme="minorEastAsia" w:cstheme="minorEastAsia"/>
          <w:color w:val="auto"/>
          <w:sz w:val="24"/>
          <w:highlight w:val="none"/>
          <w:lang w:val="zh-CN"/>
        </w:rPr>
        <w:t>五个工作日内按规定退还。</w:t>
      </w:r>
    </w:p>
    <w:p>
      <w:pPr>
        <w:numPr>
          <w:ilvl w:val="0"/>
          <w:numId w:val="0"/>
        </w:numPr>
        <w:tabs>
          <w:tab w:val="left" w:pos="540"/>
        </w:tabs>
        <w:spacing w:line="374" w:lineRule="auto"/>
        <w:ind w:left="0" w:firstLine="0"/>
        <w:rPr>
          <w:rFonts w:hint="eastAsia"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lang w:val="en-US" w:eastAsia="zh-CN"/>
        </w:rPr>
        <w:t>13.4</w:t>
      </w:r>
      <w:r>
        <w:rPr>
          <w:rFonts w:hint="eastAsia" w:asciiTheme="minorEastAsia" w:hAnsiTheme="minorEastAsia" w:eastAsiaTheme="minorEastAsia" w:cstheme="minorEastAsia"/>
          <w:color w:val="auto"/>
          <w:sz w:val="24"/>
          <w:highlight w:val="none"/>
          <w:lang w:val="zh-CN"/>
        </w:rPr>
        <w:t>中标人的竞投保证金将在其与招标人签订合同后五个工作日内按规定退还</w:t>
      </w:r>
      <w:r>
        <w:rPr>
          <w:rFonts w:hint="eastAsia" w:asciiTheme="minorEastAsia" w:hAnsiTheme="minorEastAsia" w:eastAsiaTheme="minorEastAsia" w:cstheme="minorEastAsia"/>
          <w:color w:val="auto"/>
          <w:sz w:val="24"/>
          <w:highlight w:val="none"/>
          <w:lang w:val="en-GB"/>
        </w:rPr>
        <w:t>。</w:t>
      </w:r>
    </w:p>
    <w:p>
      <w:pPr>
        <w:numPr>
          <w:ilvl w:val="0"/>
          <w:numId w:val="23"/>
        </w:numPr>
        <w:tabs>
          <w:tab w:val="left" w:pos="540"/>
        </w:tabs>
        <w:spacing w:before="120" w:beforeLines="50" w:line="374" w:lineRule="auto"/>
        <w:ind w:left="420" w:leftChars="0" w:hanging="420" w:firstLineChars="0"/>
        <w:rPr>
          <w:rFonts w:hint="eastAsia" w:asciiTheme="minorEastAsia" w:hAnsiTheme="minorEastAsia" w:eastAsiaTheme="minorEastAsia" w:cstheme="minorEastAsia"/>
          <w:b/>
          <w:color w:val="auto"/>
          <w:sz w:val="24"/>
          <w:highlight w:val="none"/>
          <w:lang w:val="zh-CN"/>
        </w:rPr>
      </w:pPr>
      <w:r>
        <w:rPr>
          <w:rFonts w:hint="eastAsia" w:asciiTheme="minorEastAsia" w:hAnsiTheme="minorEastAsia" w:eastAsiaTheme="minorEastAsia" w:cstheme="minorEastAsia"/>
          <w:b/>
          <w:color w:val="auto"/>
          <w:sz w:val="24"/>
          <w:highlight w:val="none"/>
          <w:lang w:val="en-US" w:eastAsia="zh-CN"/>
        </w:rPr>
        <w:t>投标</w:t>
      </w:r>
      <w:r>
        <w:rPr>
          <w:rFonts w:hint="eastAsia" w:asciiTheme="minorEastAsia" w:hAnsiTheme="minorEastAsia" w:eastAsiaTheme="minorEastAsia" w:cstheme="minorEastAsia"/>
          <w:b/>
          <w:color w:val="auto"/>
          <w:sz w:val="24"/>
          <w:highlight w:val="none"/>
          <w:lang w:val="zh-CN"/>
        </w:rPr>
        <w:t>有效期</w:t>
      </w:r>
    </w:p>
    <w:p>
      <w:pPr>
        <w:numPr>
          <w:ilvl w:val="0"/>
          <w:numId w:val="0"/>
        </w:numPr>
        <w:tabs>
          <w:tab w:val="left" w:pos="540"/>
        </w:tabs>
        <w:spacing w:line="374" w:lineRule="auto"/>
        <w:ind w:left="0" w:firstLine="0"/>
        <w:rPr>
          <w:rFonts w:ascii="宋体"/>
          <w:b/>
          <w:color w:val="auto"/>
          <w:sz w:val="24"/>
          <w:highlight w:val="none"/>
          <w:lang w:val="en-GB"/>
        </w:rPr>
      </w:pPr>
      <w:r>
        <w:rPr>
          <w:rFonts w:hint="eastAsia" w:asciiTheme="minorEastAsia" w:hAnsiTheme="minorEastAsia" w:eastAsiaTheme="minorEastAsia" w:cstheme="minorEastAsia"/>
          <w:color w:val="auto"/>
          <w:sz w:val="24"/>
          <w:highlight w:val="none"/>
          <w:lang w:val="en-US" w:eastAsia="zh-CN"/>
        </w:rPr>
        <w:t>14.1</w:t>
      </w:r>
      <w:r>
        <w:rPr>
          <w:rFonts w:hint="eastAsia" w:ascii="宋体" w:hAnsi="宋体"/>
          <w:color w:val="auto"/>
          <w:sz w:val="24"/>
          <w:highlight w:val="none"/>
          <w:lang w:val="en-US" w:eastAsia="zh-CN"/>
        </w:rPr>
        <w:t>投标</w:t>
      </w:r>
      <w:r>
        <w:rPr>
          <w:rFonts w:hint="eastAsia" w:ascii="宋体" w:hAnsi="宋体"/>
          <w:color w:val="auto"/>
          <w:sz w:val="24"/>
          <w:highlight w:val="none"/>
          <w:lang w:val="en-GB" w:eastAsia="zh-CN"/>
        </w:rPr>
        <w:t>有效期为自递交资格审查文件截止之日起</w:t>
      </w:r>
      <w:r>
        <w:rPr>
          <w:rFonts w:hint="eastAsia" w:ascii="宋体" w:hAnsi="宋体"/>
          <w:color w:val="auto"/>
          <w:sz w:val="24"/>
          <w:highlight w:val="none"/>
          <w:lang w:val="en-US" w:eastAsia="zh-CN"/>
        </w:rPr>
        <w:t>60</w:t>
      </w:r>
      <w:r>
        <w:rPr>
          <w:rFonts w:hint="eastAsia" w:ascii="宋体" w:hAnsi="宋体"/>
          <w:color w:val="auto"/>
          <w:sz w:val="24"/>
          <w:highlight w:val="none"/>
          <w:lang w:val="en-GB" w:eastAsia="zh-CN"/>
        </w:rPr>
        <w:t>天，中标单位投标有效期则顺延至项目完成验收之日，在此有效期内未经招标人或招标代理机构同意，资格审查文件的一切内容和补充承诺均为持续有效且不予</w:t>
      </w:r>
      <w:r>
        <w:rPr>
          <w:rFonts w:hint="eastAsia" w:ascii="宋体" w:hAnsi="宋体"/>
          <w:color w:val="auto"/>
          <w:sz w:val="24"/>
          <w:highlight w:val="none"/>
          <w:lang w:val="en-GB"/>
        </w:rPr>
        <w:t>改变。</w:t>
      </w:r>
      <w:r>
        <w:rPr>
          <w:rFonts w:hint="eastAsia" w:ascii="宋体" w:hAnsi="宋体"/>
          <w:b/>
          <w:color w:val="auto"/>
          <w:sz w:val="24"/>
          <w:highlight w:val="none"/>
          <w:lang w:val="en-GB" w:eastAsia="zh-CN"/>
        </w:rPr>
        <w:t>投标有效期</w:t>
      </w:r>
      <w:r>
        <w:rPr>
          <w:rFonts w:hint="eastAsia" w:ascii="宋体" w:hAnsi="宋体"/>
          <w:b/>
          <w:color w:val="auto"/>
          <w:sz w:val="24"/>
          <w:highlight w:val="none"/>
          <w:lang w:val="en-GB"/>
        </w:rPr>
        <w:t>比规定时间短的将被视为</w:t>
      </w:r>
      <w:r>
        <w:rPr>
          <w:rFonts w:hint="eastAsia" w:ascii="宋体" w:hAnsi="宋体"/>
          <w:b/>
          <w:color w:val="auto"/>
          <w:sz w:val="24"/>
          <w:highlight w:val="none"/>
          <w:lang w:val="en-GB" w:eastAsia="zh-CN"/>
        </w:rPr>
        <w:t>资格审查不合格</w:t>
      </w:r>
      <w:r>
        <w:rPr>
          <w:rFonts w:hint="eastAsia" w:ascii="宋体" w:hAnsi="宋体"/>
          <w:b/>
          <w:color w:val="auto"/>
          <w:sz w:val="24"/>
          <w:highlight w:val="none"/>
          <w:lang w:val="en-GB"/>
        </w:rPr>
        <w:t>。</w:t>
      </w:r>
    </w:p>
    <w:p>
      <w:pPr>
        <w:numPr>
          <w:ilvl w:val="0"/>
          <w:numId w:val="0"/>
        </w:numPr>
        <w:tabs>
          <w:tab w:val="left" w:pos="540"/>
        </w:tabs>
        <w:spacing w:line="360" w:lineRule="auto"/>
        <w:ind w:left="480" w:hanging="480" w:hangingChars="200"/>
        <w:rPr>
          <w:rFonts w:hint="eastAsia" w:ascii="宋体" w:hAnsi="宋体"/>
          <w:color w:val="auto"/>
          <w:sz w:val="24"/>
          <w:highlight w:val="none"/>
          <w:lang w:val="en-GB" w:eastAsia="zh-CN"/>
        </w:rPr>
      </w:pPr>
      <w:r>
        <w:rPr>
          <w:rFonts w:hint="eastAsia" w:ascii="宋体" w:hAnsi="宋体"/>
          <w:color w:val="auto"/>
          <w:sz w:val="24"/>
          <w:highlight w:val="none"/>
          <w:lang w:val="en-US" w:eastAsia="zh-CN"/>
        </w:rPr>
        <w:t>14.2</w:t>
      </w:r>
      <w:r>
        <w:rPr>
          <w:rFonts w:hint="eastAsia" w:ascii="宋体" w:hAnsi="宋体"/>
          <w:color w:val="auto"/>
          <w:sz w:val="24"/>
          <w:highlight w:val="none"/>
          <w:lang w:val="en-GB" w:eastAsia="zh-CN"/>
        </w:rPr>
        <w:t>特殊情况下招标代理机构或招标人可于投标有效期期满前，要求投标人延长其竞投文件有效期。投标人可以拒绝或同意上述要求，延长投标有效期的要求与答复均要求为书面形式。不同意该要求的投标人将视为自动放弃</w:t>
      </w:r>
      <w:r>
        <w:rPr>
          <w:rFonts w:hint="eastAsia" w:ascii="宋体" w:hAnsi="宋体"/>
          <w:color w:val="auto"/>
          <w:sz w:val="24"/>
          <w:highlight w:val="none"/>
          <w:lang w:val="zh-CN" w:eastAsia="zh-CN"/>
        </w:rPr>
        <w:t>竞投资格</w:t>
      </w:r>
      <w:r>
        <w:rPr>
          <w:rFonts w:hint="eastAsia" w:ascii="宋体" w:hAnsi="宋体"/>
          <w:color w:val="auto"/>
          <w:sz w:val="24"/>
          <w:highlight w:val="none"/>
          <w:lang w:val="en-GB" w:eastAsia="zh-CN"/>
        </w:rPr>
        <w:t>，其竞投保证金将予以退还。</w:t>
      </w:r>
    </w:p>
    <w:p>
      <w:pPr>
        <w:tabs>
          <w:tab w:val="left" w:pos="540"/>
          <w:tab w:val="left" w:pos="720"/>
          <w:tab w:val="left" w:pos="840"/>
        </w:tabs>
        <w:spacing w:after="72" w:afterLines="30" w:line="336" w:lineRule="auto"/>
        <w:ind w:right="-178" w:rightChars="-85"/>
        <w:jc w:val="center"/>
        <w:outlineLvl w:val="1"/>
        <w:rPr>
          <w:rFonts w:ascii="宋体"/>
          <w:b/>
          <w:color w:val="auto"/>
          <w:sz w:val="28"/>
          <w:szCs w:val="28"/>
          <w:highlight w:val="none"/>
        </w:rPr>
      </w:pPr>
      <w:r>
        <w:rPr>
          <w:rFonts w:ascii="宋体"/>
          <w:color w:val="auto"/>
          <w:sz w:val="24"/>
          <w:highlight w:val="none"/>
          <w:lang w:val="en-GB"/>
        </w:rPr>
        <w:br w:type="page"/>
      </w:r>
      <w:bookmarkStart w:id="60" w:name="_Toc19881"/>
      <w:bookmarkStart w:id="61" w:name="_Toc20538"/>
      <w:bookmarkStart w:id="62" w:name="_Toc27249"/>
      <w:bookmarkStart w:id="63" w:name="_Toc334432593"/>
      <w:bookmarkStart w:id="64" w:name="_Toc27501"/>
      <w:r>
        <w:rPr>
          <w:rFonts w:hint="eastAsia" w:ascii="宋体" w:hAnsi="宋体"/>
          <w:b/>
          <w:color w:val="auto"/>
          <w:sz w:val="28"/>
          <w:szCs w:val="28"/>
          <w:highlight w:val="none"/>
        </w:rPr>
        <w:t>五、</w:t>
      </w:r>
      <w:r>
        <w:rPr>
          <w:rFonts w:hint="eastAsia" w:ascii="宋体" w:hAnsi="宋体"/>
          <w:b/>
          <w:color w:val="auto"/>
          <w:sz w:val="28"/>
          <w:szCs w:val="28"/>
          <w:highlight w:val="none"/>
          <w:lang w:eastAsia="zh-CN"/>
        </w:rPr>
        <w:t>资格审查</w:t>
      </w:r>
      <w:r>
        <w:rPr>
          <w:rFonts w:hint="eastAsia" w:ascii="宋体" w:hAnsi="宋体"/>
          <w:b/>
          <w:color w:val="auto"/>
          <w:sz w:val="28"/>
          <w:szCs w:val="28"/>
          <w:highlight w:val="none"/>
        </w:rPr>
        <w:t>程序</w:t>
      </w:r>
      <w:bookmarkEnd w:id="60"/>
      <w:bookmarkEnd w:id="61"/>
      <w:bookmarkEnd w:id="62"/>
      <w:bookmarkEnd w:id="63"/>
      <w:bookmarkEnd w:id="64"/>
    </w:p>
    <w:p>
      <w:pPr>
        <w:numPr>
          <w:ilvl w:val="0"/>
          <w:numId w:val="23"/>
        </w:numPr>
        <w:tabs>
          <w:tab w:val="left" w:pos="540"/>
        </w:tabs>
        <w:spacing w:line="377" w:lineRule="auto"/>
        <w:ind w:left="420" w:leftChars="0" w:hanging="420" w:firstLineChars="0"/>
        <w:rPr>
          <w:rFonts w:ascii="宋体"/>
          <w:b/>
          <w:color w:val="auto"/>
          <w:sz w:val="24"/>
          <w:highlight w:val="none"/>
          <w:lang w:val="zh-CN"/>
        </w:rPr>
      </w:pPr>
      <w:r>
        <w:rPr>
          <w:rFonts w:hint="eastAsia" w:ascii="宋体" w:hAnsi="宋体"/>
          <w:b/>
          <w:color w:val="auto"/>
          <w:sz w:val="24"/>
          <w:highlight w:val="none"/>
          <w:lang w:val="zh-CN"/>
        </w:rPr>
        <w:t>资格审查文件的递交</w:t>
      </w:r>
    </w:p>
    <w:p>
      <w:pPr>
        <w:numPr>
          <w:ilvl w:val="0"/>
          <w:numId w:val="0"/>
        </w:numPr>
        <w:tabs>
          <w:tab w:val="left" w:pos="540"/>
        </w:tabs>
        <w:spacing w:line="374" w:lineRule="auto"/>
        <w:ind w:left="0" w:firstLine="0"/>
        <w:rPr>
          <w:rFonts w:hint="eastAsia" w:ascii="宋体" w:hAnsi="宋体"/>
          <w:color w:val="auto"/>
          <w:sz w:val="24"/>
          <w:highlight w:val="none"/>
          <w:lang w:val="zh-CN" w:eastAsia="zh-CN"/>
        </w:rPr>
      </w:pPr>
      <w:r>
        <w:rPr>
          <w:rFonts w:hint="eastAsia" w:ascii="宋体" w:hAnsi="宋体"/>
          <w:color w:val="auto"/>
          <w:sz w:val="24"/>
          <w:highlight w:val="none"/>
          <w:lang w:val="en-US" w:eastAsia="zh-CN"/>
        </w:rPr>
        <w:t>15.1</w:t>
      </w:r>
      <w:r>
        <w:rPr>
          <w:rFonts w:hint="eastAsia" w:ascii="宋体" w:hAnsi="宋体"/>
          <w:color w:val="auto"/>
          <w:sz w:val="24"/>
          <w:highlight w:val="none"/>
          <w:lang w:val="zh-CN" w:eastAsia="zh-CN"/>
        </w:rPr>
        <w:t>投标人代表应按《竞投公告》所规定的时间和地点递交资格审查文件。</w:t>
      </w:r>
    </w:p>
    <w:p>
      <w:pPr>
        <w:numPr>
          <w:ilvl w:val="0"/>
          <w:numId w:val="0"/>
        </w:numPr>
        <w:tabs>
          <w:tab w:val="left" w:pos="540"/>
        </w:tabs>
        <w:spacing w:line="374" w:lineRule="auto"/>
        <w:ind w:left="0" w:firstLine="0"/>
        <w:rPr>
          <w:rFonts w:hint="eastAsia" w:ascii="宋体" w:hAnsi="宋体"/>
          <w:color w:val="auto"/>
          <w:sz w:val="24"/>
          <w:highlight w:val="none"/>
          <w:lang w:val="zh-CN" w:eastAsia="zh-CN"/>
        </w:rPr>
      </w:pPr>
      <w:r>
        <w:rPr>
          <w:rFonts w:hint="eastAsia" w:ascii="宋体" w:hAnsi="宋体"/>
          <w:color w:val="auto"/>
          <w:sz w:val="24"/>
          <w:highlight w:val="none"/>
          <w:lang w:val="en-US" w:eastAsia="zh-CN"/>
        </w:rPr>
        <w:t>15.2</w:t>
      </w:r>
      <w:r>
        <w:rPr>
          <w:rFonts w:hint="eastAsia" w:ascii="宋体" w:hAnsi="宋体"/>
          <w:color w:val="auto"/>
          <w:sz w:val="24"/>
          <w:highlight w:val="none"/>
          <w:lang w:val="zh-CN" w:eastAsia="zh-CN"/>
        </w:rPr>
        <w:t>递交资格审查文件时间宣布截止后，招标代理机构将不接收任何资格审查文件。</w:t>
      </w:r>
    </w:p>
    <w:p>
      <w:pPr>
        <w:numPr>
          <w:ilvl w:val="0"/>
          <w:numId w:val="23"/>
        </w:numPr>
        <w:tabs>
          <w:tab w:val="left" w:pos="540"/>
        </w:tabs>
        <w:spacing w:before="120" w:beforeLines="50" w:line="360" w:lineRule="auto"/>
        <w:ind w:left="420" w:leftChars="0" w:hanging="420" w:firstLineChars="0"/>
        <w:rPr>
          <w:rFonts w:ascii="宋体"/>
          <w:b/>
          <w:color w:val="auto"/>
          <w:sz w:val="24"/>
          <w:highlight w:val="none"/>
          <w:lang w:val="zh-CN"/>
        </w:rPr>
      </w:pPr>
      <w:r>
        <w:rPr>
          <w:rFonts w:hint="eastAsia" w:ascii="宋体" w:hAnsi="宋体"/>
          <w:b/>
          <w:color w:val="auto"/>
          <w:sz w:val="24"/>
          <w:highlight w:val="none"/>
          <w:lang w:val="zh-CN"/>
        </w:rPr>
        <w:t>评审流程及相关事项</w:t>
      </w:r>
    </w:p>
    <w:p>
      <w:pPr>
        <w:numPr>
          <w:ilvl w:val="0"/>
          <w:numId w:val="0"/>
        </w:numPr>
        <w:tabs>
          <w:tab w:val="left" w:pos="540"/>
        </w:tabs>
        <w:spacing w:line="374" w:lineRule="auto"/>
        <w:ind w:left="0" w:firstLine="0"/>
        <w:rPr>
          <w:rFonts w:hint="default" w:ascii="宋体" w:hAnsi="宋体"/>
          <w:color w:val="auto"/>
          <w:sz w:val="24"/>
          <w:highlight w:val="none"/>
          <w:lang w:val="en-US" w:eastAsia="zh-CN"/>
        </w:rPr>
      </w:pPr>
      <w:r>
        <w:rPr>
          <w:rFonts w:hint="eastAsia" w:ascii="宋体" w:hAnsi="宋体"/>
          <w:color w:val="auto"/>
          <w:sz w:val="24"/>
          <w:highlight w:val="none"/>
          <w:lang w:val="en-US" w:eastAsia="zh-CN"/>
        </w:rPr>
        <w:t>16.1由招标人代表和招标代理机构负责审查。</w:t>
      </w:r>
    </w:p>
    <w:p>
      <w:pPr>
        <w:numPr>
          <w:ilvl w:val="0"/>
          <w:numId w:val="0"/>
        </w:numPr>
        <w:tabs>
          <w:tab w:val="left" w:pos="540"/>
        </w:tabs>
        <w:spacing w:line="374" w:lineRule="auto"/>
        <w:ind w:left="0" w:firstLine="0"/>
        <w:rPr>
          <w:rFonts w:hint="eastAsia" w:ascii="宋体" w:hAnsi="宋体"/>
          <w:color w:val="auto"/>
          <w:sz w:val="24"/>
          <w:highlight w:val="none"/>
          <w:lang w:val="zh-CN" w:eastAsia="zh-CN"/>
        </w:rPr>
      </w:pPr>
      <w:r>
        <w:rPr>
          <w:rFonts w:hint="eastAsia" w:ascii="宋体" w:hAnsi="宋体"/>
          <w:color w:val="auto"/>
          <w:sz w:val="24"/>
          <w:highlight w:val="none"/>
          <w:lang w:val="en-US" w:eastAsia="zh-CN"/>
        </w:rPr>
        <w:t>16.2</w:t>
      </w:r>
      <w:r>
        <w:rPr>
          <w:rFonts w:hint="eastAsia" w:ascii="宋体" w:hAnsi="宋体"/>
          <w:color w:val="auto"/>
          <w:sz w:val="24"/>
          <w:highlight w:val="none"/>
          <w:lang w:val="zh-CN" w:eastAsia="zh-CN"/>
        </w:rPr>
        <w:t>评审方法：合格制，合资格的投标人全部通过。</w:t>
      </w:r>
    </w:p>
    <w:p>
      <w:pPr>
        <w:numPr>
          <w:ilvl w:val="0"/>
          <w:numId w:val="0"/>
        </w:numPr>
        <w:tabs>
          <w:tab w:val="left" w:pos="540"/>
        </w:tabs>
        <w:spacing w:line="374" w:lineRule="auto"/>
        <w:ind w:left="0" w:firstLine="0"/>
        <w:rPr>
          <w:rFonts w:hint="eastAsia" w:ascii="宋体" w:hAnsi="宋体"/>
          <w:color w:val="auto"/>
          <w:sz w:val="24"/>
          <w:highlight w:val="none"/>
          <w:lang w:val="zh-CN" w:eastAsia="zh-CN"/>
        </w:rPr>
      </w:pPr>
      <w:r>
        <w:rPr>
          <w:rFonts w:hint="eastAsia" w:ascii="宋体" w:hAnsi="宋体"/>
          <w:color w:val="auto"/>
          <w:sz w:val="24"/>
          <w:highlight w:val="none"/>
          <w:lang w:val="en-US" w:eastAsia="zh-CN"/>
        </w:rPr>
        <w:t>16.3</w:t>
      </w:r>
      <w:r>
        <w:rPr>
          <w:rFonts w:hint="eastAsia" w:ascii="宋体" w:hAnsi="宋体"/>
          <w:color w:val="auto"/>
          <w:sz w:val="24"/>
          <w:highlight w:val="none"/>
          <w:lang w:val="zh-CN" w:eastAsia="zh-CN"/>
        </w:rPr>
        <w:t>评审程序：</w:t>
      </w:r>
    </w:p>
    <w:p>
      <w:pPr>
        <w:numPr>
          <w:ilvl w:val="0"/>
          <w:numId w:val="0"/>
        </w:numPr>
        <w:tabs>
          <w:tab w:val="left" w:pos="540"/>
        </w:tabs>
        <w:spacing w:line="374" w:lineRule="auto"/>
        <w:ind w:left="0" w:firstLine="0"/>
        <w:rPr>
          <w:rFonts w:ascii="宋体"/>
          <w:color w:val="auto"/>
          <w:sz w:val="24"/>
          <w:highlight w:val="none"/>
          <w:lang w:val="zh-CN"/>
        </w:rPr>
      </w:pPr>
      <w:r>
        <w:rPr>
          <w:rFonts w:hint="eastAsia" w:ascii="宋体" w:hAnsi="宋体"/>
          <w:color w:val="auto"/>
          <w:sz w:val="24"/>
          <w:highlight w:val="none"/>
          <w:lang w:val="zh-CN" w:eastAsia="zh-CN"/>
        </w:rPr>
        <w:t>对投标人的资格性检查：由招标人或招标代理机构根据本项目《竞投文件》的规定，对照《资格审</w:t>
      </w:r>
      <w:r>
        <w:rPr>
          <w:rFonts w:hint="eastAsia" w:ascii="宋体" w:hAnsi="宋体"/>
          <w:color w:val="auto"/>
          <w:sz w:val="24"/>
          <w:highlight w:val="none"/>
          <w:lang w:val="zh-CN"/>
        </w:rPr>
        <w:t>查文件》中</w:t>
      </w:r>
      <w:r>
        <w:rPr>
          <w:rFonts w:hint="eastAsia" w:ascii="宋体" w:hAnsi="宋体"/>
          <w:b/>
          <w:color w:val="auto"/>
          <w:sz w:val="24"/>
          <w:highlight w:val="none"/>
          <w:u w:val="single"/>
          <w:lang w:val="zh-CN"/>
        </w:rPr>
        <w:t>“资格性文件清单”</w:t>
      </w:r>
      <w:r>
        <w:rPr>
          <w:rFonts w:hint="eastAsia" w:ascii="宋体" w:hAnsi="宋体"/>
          <w:color w:val="auto"/>
          <w:sz w:val="24"/>
          <w:highlight w:val="none"/>
          <w:lang w:val="zh-CN"/>
        </w:rPr>
        <w:t>的内容和要求进行审查，以确定投标人是否符合竞投资格。通过资格性检查，可判定投标人的资格审查文件是否符合竞投文件的要求。对于上述审查内容，投标人必须响应，否则其资格审查文件作无效处理。</w:t>
      </w:r>
    </w:p>
    <w:p>
      <w:pPr>
        <w:numPr>
          <w:ilvl w:val="0"/>
          <w:numId w:val="23"/>
        </w:numPr>
        <w:tabs>
          <w:tab w:val="left" w:pos="540"/>
          <w:tab w:val="left" w:pos="987"/>
        </w:tabs>
        <w:spacing w:before="120" w:beforeLines="50" w:line="360" w:lineRule="auto"/>
        <w:ind w:left="420" w:leftChars="0" w:hanging="420" w:firstLineChars="0"/>
        <w:rPr>
          <w:rFonts w:ascii="宋体"/>
          <w:b/>
          <w:color w:val="auto"/>
          <w:sz w:val="24"/>
          <w:highlight w:val="none"/>
          <w:lang w:val="zh-CN"/>
        </w:rPr>
      </w:pPr>
      <w:r>
        <w:rPr>
          <w:rFonts w:hint="eastAsia" w:ascii="宋体" w:hAnsi="宋体"/>
          <w:b/>
          <w:color w:val="auto"/>
          <w:sz w:val="24"/>
          <w:highlight w:val="none"/>
          <w:lang w:val="zh-CN"/>
        </w:rPr>
        <w:t>废标条件</w:t>
      </w:r>
    </w:p>
    <w:p>
      <w:pPr>
        <w:numPr>
          <w:ilvl w:val="0"/>
          <w:numId w:val="0"/>
        </w:numPr>
        <w:tabs>
          <w:tab w:val="left" w:pos="540"/>
        </w:tabs>
        <w:spacing w:line="374" w:lineRule="auto"/>
        <w:ind w:left="0" w:firstLine="0"/>
        <w:rPr>
          <w:color w:val="auto"/>
          <w:sz w:val="24"/>
          <w:highlight w:val="none"/>
          <w:lang w:val="en-GB"/>
        </w:rPr>
      </w:pPr>
      <w:r>
        <w:rPr>
          <w:rFonts w:hint="eastAsia"/>
          <w:color w:val="auto"/>
          <w:sz w:val="24"/>
          <w:highlight w:val="none"/>
          <w:lang w:val="en-GB"/>
        </w:rPr>
        <w:t>本项目</w:t>
      </w:r>
      <w:r>
        <w:rPr>
          <w:rFonts w:hint="eastAsia"/>
          <w:color w:val="auto"/>
          <w:sz w:val="24"/>
          <w:szCs w:val="20"/>
          <w:highlight w:val="none"/>
        </w:rPr>
        <w:t>出现</w:t>
      </w:r>
      <w:r>
        <w:rPr>
          <w:rFonts w:hint="eastAsia" w:ascii="宋体" w:hAnsi="宋体"/>
          <w:color w:val="auto"/>
          <w:sz w:val="24"/>
          <w:highlight w:val="none"/>
          <w:lang w:val="en-US" w:eastAsia="zh-CN"/>
        </w:rPr>
        <w:t>下列</w:t>
      </w:r>
      <w:r>
        <w:rPr>
          <w:rFonts w:hint="eastAsia"/>
          <w:color w:val="auto"/>
          <w:sz w:val="24"/>
          <w:szCs w:val="20"/>
          <w:highlight w:val="none"/>
        </w:rPr>
        <w:t>条件之一则对应定作废标：</w:t>
      </w:r>
    </w:p>
    <w:p>
      <w:pPr>
        <w:numPr>
          <w:ilvl w:val="0"/>
          <w:numId w:val="28"/>
        </w:numPr>
        <w:spacing w:line="360" w:lineRule="auto"/>
        <w:ind w:left="993" w:hanging="709"/>
        <w:rPr>
          <w:rFonts w:ascii="宋体" w:hAnsi="宋体"/>
          <w:color w:val="auto"/>
          <w:sz w:val="24"/>
          <w:highlight w:val="none"/>
          <w:lang w:val="en-GB"/>
        </w:rPr>
      </w:pPr>
      <w:r>
        <w:rPr>
          <w:rFonts w:hint="eastAsia" w:ascii="宋体" w:hAnsi="宋体"/>
          <w:color w:val="auto"/>
          <w:sz w:val="24"/>
          <w:highlight w:val="none"/>
          <w:lang w:val="en-GB" w:eastAsia="zh-CN"/>
        </w:rPr>
        <w:t>竞投</w:t>
      </w:r>
      <w:r>
        <w:rPr>
          <w:rFonts w:ascii="宋体" w:hAnsi="宋体"/>
          <w:color w:val="auto"/>
          <w:sz w:val="24"/>
          <w:highlight w:val="none"/>
          <w:lang w:val="en-GB"/>
        </w:rPr>
        <w:t>过程出现影响公平竞争的违法、违规行为</w:t>
      </w:r>
      <w:r>
        <w:rPr>
          <w:rFonts w:hint="eastAsia" w:ascii="宋体" w:hAnsi="宋体"/>
          <w:color w:val="auto"/>
          <w:sz w:val="24"/>
          <w:highlight w:val="none"/>
          <w:lang w:val="en-GB"/>
        </w:rPr>
        <w:t>。</w:t>
      </w:r>
    </w:p>
    <w:p>
      <w:pPr>
        <w:numPr>
          <w:ilvl w:val="0"/>
          <w:numId w:val="28"/>
        </w:numPr>
        <w:spacing w:line="360" w:lineRule="auto"/>
        <w:ind w:left="993" w:hanging="709"/>
        <w:rPr>
          <w:rFonts w:ascii="宋体" w:hAnsi="宋体"/>
          <w:color w:val="auto"/>
          <w:sz w:val="24"/>
          <w:highlight w:val="none"/>
          <w:lang w:val="en-GB"/>
        </w:rPr>
      </w:pPr>
      <w:r>
        <w:rPr>
          <w:rFonts w:ascii="宋体" w:hAnsi="宋体"/>
          <w:color w:val="auto"/>
          <w:sz w:val="24"/>
          <w:highlight w:val="none"/>
          <w:lang w:val="en-GB"/>
        </w:rPr>
        <w:t>因重大变故，</w:t>
      </w:r>
      <w:r>
        <w:rPr>
          <w:rFonts w:hint="eastAsia" w:ascii="宋体" w:hAnsi="宋体"/>
          <w:color w:val="auto"/>
          <w:sz w:val="24"/>
          <w:highlight w:val="none"/>
          <w:lang w:val="en-GB"/>
        </w:rPr>
        <w:t>采购</w:t>
      </w:r>
      <w:r>
        <w:rPr>
          <w:rFonts w:ascii="宋体" w:hAnsi="宋体"/>
          <w:color w:val="auto"/>
          <w:sz w:val="24"/>
          <w:highlight w:val="none"/>
          <w:lang w:val="en-GB"/>
        </w:rPr>
        <w:t>任务取消的。</w:t>
      </w:r>
    </w:p>
    <w:p>
      <w:pPr>
        <w:numPr>
          <w:ilvl w:val="0"/>
          <w:numId w:val="28"/>
        </w:numPr>
        <w:spacing w:line="360" w:lineRule="auto"/>
        <w:ind w:left="993" w:hanging="709"/>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有效投标人不足三家的。</w:t>
      </w:r>
    </w:p>
    <w:p>
      <w:pPr>
        <w:numPr>
          <w:ilvl w:val="0"/>
          <w:numId w:val="28"/>
        </w:numPr>
        <w:spacing w:line="360" w:lineRule="auto"/>
        <w:ind w:left="993" w:hanging="709"/>
        <w:rPr>
          <w:rFonts w:hint="eastAsia" w:ascii="宋体" w:hAnsi="宋体"/>
          <w:color w:val="auto"/>
          <w:sz w:val="24"/>
          <w:highlight w:val="none"/>
          <w:lang w:val="en-GB" w:eastAsia="zh-CN"/>
        </w:rPr>
      </w:pPr>
      <w:r>
        <w:rPr>
          <w:rFonts w:hint="eastAsia" w:ascii="宋体" w:hAnsi="宋体"/>
          <w:color w:val="auto"/>
          <w:sz w:val="24"/>
          <w:highlight w:val="none"/>
          <w:lang w:val="en-US" w:eastAsia="zh-CN"/>
        </w:rPr>
        <w:t>竞投过程无人报价或所有报价均低于最低限价的。</w:t>
      </w:r>
    </w:p>
    <w:p>
      <w:pPr>
        <w:numPr>
          <w:ilvl w:val="0"/>
          <w:numId w:val="23"/>
        </w:numPr>
        <w:tabs>
          <w:tab w:val="left" w:pos="540"/>
          <w:tab w:val="left" w:pos="987"/>
        </w:tabs>
        <w:spacing w:before="120" w:beforeLines="50" w:line="360" w:lineRule="auto"/>
        <w:ind w:left="420" w:leftChars="0" w:hanging="420" w:firstLineChars="0"/>
        <w:rPr>
          <w:rFonts w:ascii="宋体"/>
          <w:b/>
          <w:color w:val="auto"/>
          <w:sz w:val="24"/>
          <w:highlight w:val="none"/>
          <w:lang w:val="zh-CN"/>
        </w:rPr>
      </w:pPr>
      <w:r>
        <w:rPr>
          <w:rFonts w:hint="eastAsia" w:ascii="宋体" w:hAnsi="宋体"/>
          <w:b/>
          <w:color w:val="auto"/>
          <w:sz w:val="24"/>
          <w:highlight w:val="none"/>
          <w:lang w:val="zh-CN"/>
        </w:rPr>
        <w:t>无效竞投</w:t>
      </w:r>
    </w:p>
    <w:p>
      <w:pPr>
        <w:numPr>
          <w:ilvl w:val="0"/>
          <w:numId w:val="0"/>
        </w:numPr>
        <w:tabs>
          <w:tab w:val="left" w:pos="540"/>
        </w:tabs>
        <w:spacing w:line="374" w:lineRule="auto"/>
        <w:ind w:left="0" w:firstLine="0"/>
        <w:rPr>
          <w:rFonts w:hint="eastAsia" w:ascii="宋体" w:hAnsi="宋体"/>
          <w:color w:val="auto"/>
          <w:sz w:val="24"/>
          <w:highlight w:val="none"/>
          <w:lang w:val="en-GB" w:eastAsia="zh-CN"/>
        </w:rPr>
      </w:pPr>
      <w:r>
        <w:rPr>
          <w:rFonts w:hint="eastAsia" w:ascii="宋体" w:hAnsi="宋体"/>
          <w:color w:val="auto"/>
          <w:sz w:val="24"/>
          <w:highlight w:val="none"/>
          <w:lang w:val="en-US" w:eastAsia="zh-CN"/>
        </w:rPr>
        <w:t>18.1无效竞投行为的认定，投标人存在下列情况之一的，竞投无效：</w:t>
      </w:r>
    </w:p>
    <w:p>
      <w:pPr>
        <w:numPr>
          <w:ilvl w:val="0"/>
          <w:numId w:val="29"/>
        </w:numPr>
        <w:tabs>
          <w:tab w:val="left" w:pos="170"/>
        </w:tabs>
        <w:spacing w:line="360" w:lineRule="auto"/>
        <w:ind w:left="993" w:hanging="709"/>
        <w:rPr>
          <w:rFonts w:ascii="宋体" w:hAnsi="宋体"/>
          <w:color w:val="auto"/>
          <w:sz w:val="24"/>
          <w:highlight w:val="none"/>
          <w:lang w:val="en-GB"/>
        </w:rPr>
      </w:pPr>
      <w:r>
        <w:rPr>
          <w:rFonts w:ascii="宋体" w:hAnsi="宋体"/>
          <w:color w:val="auto"/>
          <w:sz w:val="24"/>
          <w:highlight w:val="none"/>
          <w:lang w:val="en-GB"/>
        </w:rPr>
        <w:t>未按照</w:t>
      </w:r>
      <w:r>
        <w:rPr>
          <w:rFonts w:hint="eastAsia" w:ascii="宋体" w:hAnsi="宋体"/>
          <w:color w:val="auto"/>
          <w:sz w:val="24"/>
          <w:highlight w:val="none"/>
          <w:lang w:val="en-GB" w:eastAsia="zh-CN"/>
        </w:rPr>
        <w:t>竞投文件</w:t>
      </w:r>
      <w:r>
        <w:rPr>
          <w:rFonts w:ascii="宋体" w:hAnsi="宋体"/>
          <w:color w:val="auto"/>
          <w:sz w:val="24"/>
          <w:highlight w:val="none"/>
          <w:lang w:val="en-GB"/>
        </w:rPr>
        <w:t>的规定提交保证金的。</w:t>
      </w:r>
    </w:p>
    <w:p>
      <w:pPr>
        <w:numPr>
          <w:ilvl w:val="0"/>
          <w:numId w:val="29"/>
        </w:numPr>
        <w:tabs>
          <w:tab w:val="left" w:pos="170"/>
        </w:tabs>
        <w:spacing w:line="360" w:lineRule="auto"/>
        <w:ind w:left="993" w:hanging="709"/>
        <w:rPr>
          <w:rFonts w:ascii="宋体" w:hAnsi="宋体"/>
          <w:color w:val="auto"/>
          <w:sz w:val="24"/>
          <w:highlight w:val="none"/>
          <w:lang w:val="en-GB"/>
        </w:rPr>
      </w:pPr>
      <w:r>
        <w:rPr>
          <w:rFonts w:hint="eastAsia" w:ascii="宋体" w:hAnsi="宋体"/>
          <w:color w:val="auto"/>
          <w:sz w:val="24"/>
          <w:highlight w:val="none"/>
          <w:lang w:val="en-GB" w:eastAsia="zh-CN"/>
        </w:rPr>
        <w:t>资格审查</w:t>
      </w:r>
      <w:r>
        <w:rPr>
          <w:rFonts w:ascii="宋体" w:hAnsi="宋体"/>
          <w:color w:val="auto"/>
          <w:sz w:val="24"/>
          <w:highlight w:val="none"/>
          <w:lang w:val="en-GB"/>
        </w:rPr>
        <w:t>文件未按</w:t>
      </w:r>
      <w:r>
        <w:rPr>
          <w:rFonts w:hint="eastAsia" w:ascii="宋体" w:hAnsi="宋体"/>
          <w:color w:val="auto"/>
          <w:sz w:val="24"/>
          <w:highlight w:val="none"/>
          <w:lang w:val="en-GB" w:eastAsia="zh-CN"/>
        </w:rPr>
        <w:t>竞投文件</w:t>
      </w:r>
      <w:r>
        <w:rPr>
          <w:rFonts w:ascii="宋体" w:hAnsi="宋体"/>
          <w:color w:val="auto"/>
          <w:sz w:val="24"/>
          <w:highlight w:val="none"/>
          <w:lang w:val="en-GB"/>
        </w:rPr>
        <w:t>要求签署、盖章的。</w:t>
      </w:r>
    </w:p>
    <w:p>
      <w:pPr>
        <w:numPr>
          <w:ilvl w:val="0"/>
          <w:numId w:val="29"/>
        </w:numPr>
        <w:tabs>
          <w:tab w:val="left" w:pos="170"/>
        </w:tabs>
        <w:spacing w:line="360" w:lineRule="auto"/>
        <w:ind w:left="993" w:hanging="709"/>
        <w:rPr>
          <w:rFonts w:ascii="宋体" w:hAnsi="宋体"/>
          <w:color w:val="auto"/>
          <w:sz w:val="24"/>
          <w:highlight w:val="none"/>
          <w:lang w:val="en-GB"/>
        </w:rPr>
      </w:pPr>
      <w:r>
        <w:rPr>
          <w:rFonts w:ascii="宋体" w:hAnsi="宋体"/>
          <w:color w:val="auto"/>
          <w:sz w:val="24"/>
          <w:highlight w:val="none"/>
          <w:lang w:val="en-GB"/>
        </w:rPr>
        <w:t>不具备</w:t>
      </w:r>
      <w:r>
        <w:rPr>
          <w:rFonts w:hint="eastAsia" w:ascii="宋体" w:hAnsi="宋体"/>
          <w:color w:val="auto"/>
          <w:sz w:val="24"/>
          <w:highlight w:val="none"/>
          <w:lang w:val="en-GB" w:eastAsia="zh-CN"/>
        </w:rPr>
        <w:t>竞投文件</w:t>
      </w:r>
      <w:r>
        <w:rPr>
          <w:rFonts w:ascii="宋体" w:hAnsi="宋体"/>
          <w:color w:val="auto"/>
          <w:sz w:val="24"/>
          <w:highlight w:val="none"/>
          <w:lang w:val="en-GB"/>
        </w:rPr>
        <w:t>规定的资格要求的。</w:t>
      </w:r>
    </w:p>
    <w:p>
      <w:pPr>
        <w:numPr>
          <w:ilvl w:val="0"/>
          <w:numId w:val="29"/>
        </w:numPr>
        <w:tabs>
          <w:tab w:val="left" w:pos="170"/>
        </w:tabs>
        <w:spacing w:line="360" w:lineRule="auto"/>
        <w:ind w:left="993" w:hanging="709"/>
        <w:rPr>
          <w:rFonts w:ascii="宋体" w:hAnsi="宋体"/>
          <w:color w:val="auto"/>
          <w:sz w:val="24"/>
          <w:highlight w:val="none"/>
          <w:lang w:val="en-GB"/>
        </w:rPr>
      </w:pPr>
      <w:r>
        <w:rPr>
          <w:rFonts w:ascii="宋体" w:hAnsi="宋体"/>
          <w:color w:val="auto"/>
          <w:sz w:val="24"/>
          <w:highlight w:val="none"/>
          <w:lang w:val="en-GB"/>
        </w:rPr>
        <w:t>报价</w:t>
      </w:r>
      <w:r>
        <w:rPr>
          <w:rFonts w:hint="eastAsia" w:ascii="宋体" w:hAnsi="宋体"/>
          <w:color w:val="auto"/>
          <w:sz w:val="24"/>
          <w:highlight w:val="none"/>
          <w:lang w:val="en-GB" w:eastAsia="zh-CN"/>
        </w:rPr>
        <w:t>低于竞投文件</w:t>
      </w:r>
      <w:r>
        <w:rPr>
          <w:rFonts w:ascii="宋体" w:hAnsi="宋体"/>
          <w:color w:val="auto"/>
          <w:sz w:val="24"/>
          <w:highlight w:val="none"/>
          <w:lang w:val="en-GB"/>
        </w:rPr>
        <w:t>中规定的</w:t>
      </w:r>
      <w:r>
        <w:rPr>
          <w:rFonts w:hint="eastAsia" w:ascii="宋体" w:hAnsi="宋体"/>
          <w:color w:val="auto"/>
          <w:sz w:val="24"/>
          <w:highlight w:val="none"/>
          <w:lang w:val="en-US" w:eastAsia="zh-CN"/>
        </w:rPr>
        <w:t>底</w:t>
      </w:r>
      <w:r>
        <w:rPr>
          <w:rFonts w:ascii="宋体" w:hAnsi="宋体"/>
          <w:color w:val="auto"/>
          <w:sz w:val="24"/>
          <w:highlight w:val="none"/>
          <w:lang w:val="en-GB"/>
        </w:rPr>
        <w:t>价的。</w:t>
      </w:r>
    </w:p>
    <w:p>
      <w:pPr>
        <w:numPr>
          <w:ilvl w:val="0"/>
          <w:numId w:val="29"/>
        </w:numPr>
        <w:tabs>
          <w:tab w:val="left" w:pos="170"/>
        </w:tabs>
        <w:spacing w:line="360" w:lineRule="auto"/>
        <w:ind w:left="993" w:hanging="709"/>
        <w:rPr>
          <w:rFonts w:ascii="宋体" w:hAnsi="宋体"/>
          <w:color w:val="auto"/>
          <w:sz w:val="24"/>
          <w:highlight w:val="none"/>
          <w:lang w:val="en-GB"/>
        </w:rPr>
      </w:pPr>
      <w:r>
        <w:rPr>
          <w:rFonts w:hint="eastAsia" w:ascii="宋体" w:hAnsi="宋体"/>
          <w:color w:val="auto"/>
          <w:sz w:val="24"/>
          <w:highlight w:val="none"/>
          <w:lang w:val="en-GB" w:eastAsia="zh-CN"/>
        </w:rPr>
        <w:t>资格审查</w:t>
      </w:r>
      <w:r>
        <w:rPr>
          <w:rFonts w:ascii="宋体" w:hAnsi="宋体"/>
          <w:color w:val="auto"/>
          <w:sz w:val="24"/>
          <w:highlight w:val="none"/>
          <w:lang w:val="en-GB"/>
        </w:rPr>
        <w:t>文件含有</w:t>
      </w:r>
      <w:r>
        <w:rPr>
          <w:rFonts w:hint="eastAsia" w:ascii="宋体" w:hAnsi="宋体"/>
          <w:color w:val="auto"/>
          <w:sz w:val="24"/>
          <w:highlight w:val="none"/>
          <w:lang w:val="en-GB" w:eastAsia="zh-CN"/>
        </w:rPr>
        <w:t>招标人</w:t>
      </w:r>
      <w:r>
        <w:rPr>
          <w:rFonts w:ascii="宋体" w:hAnsi="宋体"/>
          <w:color w:val="auto"/>
          <w:sz w:val="24"/>
          <w:highlight w:val="none"/>
          <w:lang w:val="en-GB"/>
        </w:rPr>
        <w:t>不能接受的附加条件的。</w:t>
      </w:r>
    </w:p>
    <w:p>
      <w:pPr>
        <w:numPr>
          <w:ilvl w:val="0"/>
          <w:numId w:val="29"/>
        </w:numPr>
        <w:tabs>
          <w:tab w:val="left" w:pos="170"/>
        </w:tabs>
        <w:spacing w:line="360" w:lineRule="auto"/>
        <w:ind w:left="993" w:hanging="709"/>
        <w:rPr>
          <w:rFonts w:ascii="宋体" w:hAnsi="宋体"/>
          <w:color w:val="auto"/>
          <w:sz w:val="24"/>
          <w:highlight w:val="none"/>
          <w:lang w:val="en-GB"/>
        </w:rPr>
      </w:pPr>
      <w:r>
        <w:rPr>
          <w:rFonts w:ascii="宋体" w:hAnsi="宋体"/>
          <w:color w:val="auto"/>
          <w:sz w:val="24"/>
          <w:highlight w:val="none"/>
          <w:lang w:val="en-GB"/>
        </w:rPr>
        <w:t>法律、法规或</w:t>
      </w:r>
      <w:r>
        <w:rPr>
          <w:rFonts w:hint="eastAsia" w:ascii="宋体" w:hAnsi="宋体"/>
          <w:color w:val="auto"/>
          <w:sz w:val="24"/>
          <w:highlight w:val="none"/>
          <w:lang w:val="en-GB" w:eastAsia="zh-CN"/>
        </w:rPr>
        <w:t>竞投文件</w:t>
      </w:r>
      <w:r>
        <w:rPr>
          <w:rFonts w:ascii="宋体" w:hAnsi="宋体"/>
          <w:color w:val="auto"/>
          <w:sz w:val="24"/>
          <w:highlight w:val="none"/>
          <w:lang w:val="en-GB"/>
        </w:rPr>
        <w:t>规定的其他无效情形的。</w:t>
      </w:r>
    </w:p>
    <w:p>
      <w:pPr>
        <w:numPr>
          <w:ilvl w:val="0"/>
          <w:numId w:val="0"/>
        </w:numPr>
        <w:tabs>
          <w:tab w:val="left" w:pos="540"/>
        </w:tabs>
        <w:spacing w:line="374" w:lineRule="auto"/>
        <w:ind w:left="0" w:firstLine="0"/>
        <w:rPr>
          <w:rFonts w:hint="eastAsia" w:ascii="宋体" w:hAnsi="宋体"/>
          <w:color w:val="auto"/>
          <w:sz w:val="24"/>
          <w:highlight w:val="none"/>
          <w:lang w:val="en-GB" w:eastAsia="zh-CN"/>
        </w:rPr>
      </w:pPr>
      <w:r>
        <w:rPr>
          <w:rFonts w:hint="eastAsia" w:ascii="宋体" w:hAnsi="宋体"/>
          <w:color w:val="auto"/>
          <w:sz w:val="24"/>
          <w:highlight w:val="none"/>
          <w:lang w:val="en-US" w:eastAsia="zh-CN"/>
        </w:rPr>
        <w:t>18.2</w:t>
      </w:r>
      <w:r>
        <w:rPr>
          <w:rFonts w:hint="eastAsia" w:ascii="宋体" w:hAnsi="宋体"/>
          <w:color w:val="auto"/>
          <w:sz w:val="24"/>
          <w:highlight w:val="none"/>
          <w:lang w:val="en-GB" w:eastAsia="zh-CN"/>
        </w:rPr>
        <w:t>有下列情形之一的，视为投标人串通竞投，其竞投无效：</w:t>
      </w:r>
    </w:p>
    <w:p>
      <w:pPr>
        <w:numPr>
          <w:ilvl w:val="0"/>
          <w:numId w:val="30"/>
        </w:numPr>
        <w:tabs>
          <w:tab w:val="left" w:pos="170"/>
        </w:tabs>
        <w:spacing w:line="360" w:lineRule="auto"/>
        <w:ind w:left="993" w:hanging="709"/>
        <w:rPr>
          <w:rFonts w:ascii="宋体" w:hAnsi="宋体"/>
          <w:color w:val="auto"/>
          <w:sz w:val="24"/>
          <w:highlight w:val="none"/>
          <w:lang w:val="en-GB"/>
        </w:rPr>
      </w:pPr>
      <w:r>
        <w:rPr>
          <w:rFonts w:ascii="宋体" w:hAnsi="宋体"/>
          <w:color w:val="auto"/>
          <w:sz w:val="24"/>
          <w:highlight w:val="none"/>
          <w:lang w:val="en-GB"/>
        </w:rPr>
        <w:t>不同</w:t>
      </w:r>
      <w:r>
        <w:rPr>
          <w:rFonts w:hint="eastAsia" w:ascii="宋体" w:hAnsi="宋体"/>
          <w:color w:val="auto"/>
          <w:sz w:val="24"/>
          <w:highlight w:val="none"/>
          <w:lang w:val="en-GB" w:eastAsia="zh-CN"/>
        </w:rPr>
        <w:t>投标人</w:t>
      </w:r>
      <w:r>
        <w:rPr>
          <w:rFonts w:ascii="宋体" w:hAnsi="宋体"/>
          <w:color w:val="auto"/>
          <w:sz w:val="24"/>
          <w:highlight w:val="none"/>
          <w:lang w:val="en-GB"/>
        </w:rPr>
        <w:t>的</w:t>
      </w:r>
      <w:r>
        <w:rPr>
          <w:rFonts w:hint="eastAsia" w:ascii="宋体" w:hAnsi="宋体"/>
          <w:color w:val="auto"/>
          <w:sz w:val="24"/>
          <w:highlight w:val="none"/>
          <w:lang w:val="en-GB" w:eastAsia="zh-CN"/>
        </w:rPr>
        <w:t>资格审查</w:t>
      </w:r>
      <w:r>
        <w:rPr>
          <w:rFonts w:ascii="宋体" w:hAnsi="宋体"/>
          <w:color w:val="auto"/>
          <w:sz w:val="24"/>
          <w:highlight w:val="none"/>
          <w:lang w:val="en-GB"/>
        </w:rPr>
        <w:t>文件由同一单位或者个人编制。</w:t>
      </w:r>
    </w:p>
    <w:p>
      <w:pPr>
        <w:numPr>
          <w:ilvl w:val="0"/>
          <w:numId w:val="30"/>
        </w:numPr>
        <w:tabs>
          <w:tab w:val="left" w:pos="170"/>
        </w:tabs>
        <w:spacing w:line="360" w:lineRule="auto"/>
        <w:ind w:left="993" w:hanging="709"/>
        <w:rPr>
          <w:rFonts w:ascii="宋体" w:hAnsi="宋体"/>
          <w:color w:val="auto"/>
          <w:sz w:val="24"/>
          <w:highlight w:val="none"/>
          <w:lang w:val="en-GB"/>
        </w:rPr>
      </w:pPr>
      <w:r>
        <w:rPr>
          <w:rFonts w:ascii="宋体" w:hAnsi="宋体"/>
          <w:color w:val="auto"/>
          <w:sz w:val="24"/>
          <w:highlight w:val="none"/>
          <w:lang w:val="en-GB"/>
        </w:rPr>
        <w:t>不同</w:t>
      </w:r>
      <w:r>
        <w:rPr>
          <w:rFonts w:hint="eastAsia" w:ascii="宋体" w:hAnsi="宋体"/>
          <w:color w:val="auto"/>
          <w:sz w:val="24"/>
          <w:highlight w:val="none"/>
          <w:lang w:val="en-GB" w:eastAsia="zh-CN"/>
        </w:rPr>
        <w:t>投标人</w:t>
      </w:r>
      <w:r>
        <w:rPr>
          <w:rFonts w:ascii="宋体" w:hAnsi="宋体"/>
          <w:color w:val="auto"/>
          <w:sz w:val="24"/>
          <w:highlight w:val="none"/>
          <w:lang w:val="en-GB"/>
        </w:rPr>
        <w:t>委托同一单位或者个人办理</w:t>
      </w:r>
      <w:r>
        <w:rPr>
          <w:rFonts w:hint="eastAsia" w:ascii="宋体" w:hAnsi="宋体"/>
          <w:color w:val="auto"/>
          <w:sz w:val="24"/>
          <w:highlight w:val="none"/>
          <w:lang w:val="en-GB" w:eastAsia="zh-CN"/>
        </w:rPr>
        <w:t>竞投</w:t>
      </w:r>
      <w:r>
        <w:rPr>
          <w:rFonts w:ascii="宋体" w:hAnsi="宋体"/>
          <w:color w:val="auto"/>
          <w:sz w:val="24"/>
          <w:highlight w:val="none"/>
          <w:lang w:val="en-GB"/>
        </w:rPr>
        <w:t>事宜。</w:t>
      </w:r>
    </w:p>
    <w:p>
      <w:pPr>
        <w:numPr>
          <w:ilvl w:val="0"/>
          <w:numId w:val="30"/>
        </w:numPr>
        <w:tabs>
          <w:tab w:val="left" w:pos="170"/>
        </w:tabs>
        <w:spacing w:line="360" w:lineRule="auto"/>
        <w:ind w:left="993" w:hanging="709"/>
        <w:rPr>
          <w:rFonts w:ascii="宋体" w:hAnsi="宋体"/>
          <w:color w:val="auto"/>
          <w:sz w:val="24"/>
          <w:highlight w:val="none"/>
          <w:lang w:val="en-GB"/>
        </w:rPr>
      </w:pPr>
      <w:r>
        <w:rPr>
          <w:rFonts w:ascii="宋体" w:hAnsi="宋体"/>
          <w:color w:val="auto"/>
          <w:sz w:val="24"/>
          <w:highlight w:val="none"/>
          <w:lang w:val="en-GB"/>
        </w:rPr>
        <w:t>不同</w:t>
      </w:r>
      <w:r>
        <w:rPr>
          <w:rFonts w:hint="eastAsia" w:ascii="宋体" w:hAnsi="宋体"/>
          <w:color w:val="auto"/>
          <w:sz w:val="24"/>
          <w:highlight w:val="none"/>
          <w:lang w:val="en-GB" w:eastAsia="zh-CN"/>
        </w:rPr>
        <w:t>投标人</w:t>
      </w:r>
      <w:r>
        <w:rPr>
          <w:rFonts w:ascii="宋体" w:hAnsi="宋体"/>
          <w:color w:val="auto"/>
          <w:sz w:val="24"/>
          <w:highlight w:val="none"/>
          <w:lang w:val="en-GB"/>
        </w:rPr>
        <w:t>的</w:t>
      </w:r>
      <w:r>
        <w:rPr>
          <w:rFonts w:hint="eastAsia" w:ascii="宋体" w:hAnsi="宋体"/>
          <w:color w:val="auto"/>
          <w:sz w:val="24"/>
          <w:highlight w:val="none"/>
          <w:lang w:val="en-GB" w:eastAsia="zh-CN"/>
        </w:rPr>
        <w:t>资格审查</w:t>
      </w:r>
      <w:r>
        <w:rPr>
          <w:rFonts w:ascii="宋体" w:hAnsi="宋体"/>
          <w:color w:val="auto"/>
          <w:sz w:val="24"/>
          <w:highlight w:val="none"/>
          <w:lang w:val="en-GB"/>
        </w:rPr>
        <w:t>文件载明的</w:t>
      </w:r>
      <w:r>
        <w:rPr>
          <w:rFonts w:hint="eastAsia" w:ascii="宋体" w:hAnsi="宋体"/>
          <w:color w:val="auto"/>
          <w:sz w:val="24"/>
          <w:highlight w:val="none"/>
          <w:lang w:val="en-GB" w:eastAsia="zh-CN"/>
        </w:rPr>
        <w:t>授权代理人</w:t>
      </w:r>
      <w:r>
        <w:rPr>
          <w:rFonts w:ascii="宋体" w:hAnsi="宋体"/>
          <w:color w:val="auto"/>
          <w:sz w:val="24"/>
          <w:highlight w:val="none"/>
          <w:lang w:val="en-GB"/>
        </w:rPr>
        <w:t>或者联系人员为同一人。</w:t>
      </w:r>
    </w:p>
    <w:p>
      <w:pPr>
        <w:numPr>
          <w:ilvl w:val="0"/>
          <w:numId w:val="30"/>
        </w:numPr>
        <w:tabs>
          <w:tab w:val="left" w:pos="170"/>
        </w:tabs>
        <w:spacing w:line="360" w:lineRule="auto"/>
        <w:ind w:left="993" w:hanging="709"/>
        <w:rPr>
          <w:rFonts w:ascii="宋体" w:hAnsi="宋体"/>
          <w:color w:val="auto"/>
          <w:sz w:val="24"/>
          <w:highlight w:val="none"/>
          <w:lang w:val="en-GB"/>
        </w:rPr>
      </w:pPr>
      <w:r>
        <w:rPr>
          <w:rFonts w:ascii="宋体" w:hAnsi="宋体"/>
          <w:color w:val="auto"/>
          <w:sz w:val="24"/>
          <w:highlight w:val="none"/>
          <w:lang w:val="en-GB"/>
        </w:rPr>
        <w:t>不同</w:t>
      </w:r>
      <w:r>
        <w:rPr>
          <w:rFonts w:hint="eastAsia" w:ascii="宋体" w:hAnsi="宋体"/>
          <w:color w:val="auto"/>
          <w:sz w:val="24"/>
          <w:highlight w:val="none"/>
          <w:lang w:val="en-GB" w:eastAsia="zh-CN"/>
        </w:rPr>
        <w:t>投标人</w:t>
      </w:r>
      <w:r>
        <w:rPr>
          <w:rFonts w:ascii="宋体" w:hAnsi="宋体"/>
          <w:color w:val="auto"/>
          <w:sz w:val="24"/>
          <w:highlight w:val="none"/>
          <w:lang w:val="en-GB"/>
        </w:rPr>
        <w:t>的</w:t>
      </w:r>
      <w:r>
        <w:rPr>
          <w:rFonts w:hint="eastAsia" w:ascii="宋体" w:hAnsi="宋体"/>
          <w:color w:val="auto"/>
          <w:sz w:val="24"/>
          <w:highlight w:val="none"/>
          <w:lang w:val="en-GB" w:eastAsia="zh-CN"/>
        </w:rPr>
        <w:t>资格审查</w:t>
      </w:r>
      <w:r>
        <w:rPr>
          <w:rFonts w:ascii="宋体" w:hAnsi="宋体"/>
          <w:color w:val="auto"/>
          <w:sz w:val="24"/>
          <w:highlight w:val="none"/>
          <w:lang w:val="en-GB"/>
        </w:rPr>
        <w:t>文件相互混装。</w:t>
      </w:r>
    </w:p>
    <w:p>
      <w:pPr>
        <w:numPr>
          <w:ilvl w:val="0"/>
          <w:numId w:val="30"/>
        </w:numPr>
        <w:tabs>
          <w:tab w:val="left" w:pos="420"/>
          <w:tab w:val="left" w:pos="720"/>
        </w:tabs>
        <w:spacing w:line="360" w:lineRule="auto"/>
        <w:ind w:left="993" w:hanging="709"/>
        <w:rPr>
          <w:rFonts w:ascii="宋体" w:hAnsi="宋体"/>
          <w:color w:val="auto"/>
          <w:sz w:val="24"/>
          <w:highlight w:val="none"/>
          <w:lang w:val="en-GB"/>
        </w:rPr>
      </w:pPr>
      <w:r>
        <w:rPr>
          <w:rFonts w:ascii="宋体" w:hAnsi="宋体"/>
          <w:color w:val="auto"/>
          <w:sz w:val="24"/>
          <w:highlight w:val="none"/>
          <w:lang w:val="en-GB"/>
        </w:rPr>
        <w:t>不同</w:t>
      </w:r>
      <w:r>
        <w:rPr>
          <w:rFonts w:hint="eastAsia" w:ascii="宋体" w:hAnsi="宋体"/>
          <w:color w:val="auto"/>
          <w:sz w:val="24"/>
          <w:highlight w:val="none"/>
          <w:lang w:val="en-GB" w:eastAsia="zh-CN"/>
        </w:rPr>
        <w:t>投标人</w:t>
      </w:r>
      <w:r>
        <w:rPr>
          <w:rFonts w:ascii="宋体" w:hAnsi="宋体"/>
          <w:color w:val="auto"/>
          <w:sz w:val="24"/>
          <w:highlight w:val="none"/>
          <w:lang w:val="en-GB"/>
        </w:rPr>
        <w:t>的</w:t>
      </w:r>
      <w:r>
        <w:rPr>
          <w:rFonts w:hint="eastAsia" w:ascii="宋体" w:hAnsi="宋体"/>
          <w:color w:val="auto"/>
          <w:sz w:val="24"/>
          <w:highlight w:val="none"/>
          <w:lang w:val="en-GB" w:eastAsia="zh-CN"/>
        </w:rPr>
        <w:t>竞投</w:t>
      </w:r>
      <w:r>
        <w:rPr>
          <w:rFonts w:ascii="宋体" w:hAnsi="宋体"/>
          <w:color w:val="auto"/>
          <w:sz w:val="24"/>
          <w:highlight w:val="none"/>
          <w:lang w:val="en-GB"/>
        </w:rPr>
        <w:t>保证金从同一单位或者个人的账户转出。</w:t>
      </w:r>
    </w:p>
    <w:p>
      <w:pPr>
        <w:tabs>
          <w:tab w:val="left" w:pos="420"/>
        </w:tabs>
        <w:autoSpaceDE w:val="0"/>
        <w:autoSpaceDN w:val="0"/>
        <w:adjustRightInd w:val="0"/>
        <w:snapToGrid w:val="0"/>
        <w:spacing w:line="360" w:lineRule="auto"/>
        <w:ind w:right="32"/>
        <w:rPr>
          <w:rFonts w:hint="eastAsia" w:ascii="宋体" w:hAnsi="宋体"/>
          <w:color w:val="auto"/>
          <w:sz w:val="24"/>
          <w:highlight w:val="none"/>
        </w:rPr>
      </w:pPr>
    </w:p>
    <w:p>
      <w:pPr>
        <w:spacing w:after="72" w:afterLines="30" w:line="336" w:lineRule="auto"/>
        <w:ind w:right="-178" w:rightChars="-85"/>
        <w:jc w:val="center"/>
        <w:outlineLvl w:val="1"/>
        <w:rPr>
          <w:rFonts w:hint="eastAsia" w:ascii="宋体" w:eastAsia="宋体"/>
          <w:b/>
          <w:color w:val="auto"/>
          <w:sz w:val="28"/>
          <w:szCs w:val="28"/>
          <w:highlight w:val="none"/>
          <w:lang w:eastAsia="zh-CN"/>
        </w:rPr>
      </w:pPr>
      <w:bookmarkStart w:id="65" w:name="_Toc11501"/>
      <w:bookmarkStart w:id="66" w:name="_Toc29156"/>
      <w:bookmarkStart w:id="67" w:name="_Toc28243"/>
      <w:bookmarkStart w:id="68" w:name="_Toc334432594"/>
      <w:bookmarkStart w:id="69" w:name="_Toc6827"/>
      <w:r>
        <w:rPr>
          <w:rFonts w:hint="eastAsia" w:ascii="宋体" w:hAnsi="宋体"/>
          <w:b/>
          <w:color w:val="auto"/>
          <w:sz w:val="28"/>
          <w:szCs w:val="28"/>
          <w:highlight w:val="none"/>
        </w:rPr>
        <w:t>六、</w:t>
      </w:r>
      <w:bookmarkEnd w:id="65"/>
      <w:bookmarkEnd w:id="66"/>
      <w:bookmarkEnd w:id="67"/>
      <w:bookmarkEnd w:id="68"/>
      <w:r>
        <w:rPr>
          <w:rFonts w:hint="eastAsia" w:ascii="宋体" w:hAnsi="宋体"/>
          <w:b/>
          <w:color w:val="auto"/>
          <w:sz w:val="28"/>
          <w:szCs w:val="28"/>
          <w:highlight w:val="none"/>
          <w:lang w:eastAsia="zh-CN"/>
        </w:rPr>
        <w:t>竞投方式</w:t>
      </w:r>
      <w:bookmarkEnd w:id="69"/>
    </w:p>
    <w:p>
      <w:pPr>
        <w:numPr>
          <w:ilvl w:val="0"/>
          <w:numId w:val="23"/>
        </w:numPr>
        <w:tabs>
          <w:tab w:val="left" w:pos="540"/>
        </w:tabs>
        <w:spacing w:line="360" w:lineRule="auto"/>
        <w:ind w:left="420" w:leftChars="0" w:hanging="420" w:firstLineChars="0"/>
        <w:rPr>
          <w:color w:val="auto"/>
          <w:sz w:val="24"/>
          <w:highlight w:val="none"/>
        </w:rPr>
      </w:pPr>
      <w:bookmarkStart w:id="70" w:name="_Toc119321139"/>
      <w:bookmarkStart w:id="71" w:name="_Toc374378411"/>
      <w:r>
        <w:rPr>
          <w:rFonts w:hint="eastAsia" w:hAnsi="宋体"/>
          <w:b/>
          <w:color w:val="auto"/>
          <w:sz w:val="24"/>
          <w:highlight w:val="none"/>
          <w:lang w:eastAsia="zh-CN"/>
        </w:rPr>
        <w:t>竞投</w:t>
      </w:r>
      <w:bookmarkEnd w:id="70"/>
      <w:bookmarkEnd w:id="71"/>
      <w:r>
        <w:rPr>
          <w:rFonts w:hint="eastAsia" w:hAnsi="宋体"/>
          <w:b/>
          <w:color w:val="auto"/>
          <w:sz w:val="24"/>
          <w:highlight w:val="none"/>
          <w:lang w:eastAsia="zh-CN"/>
        </w:rPr>
        <w:t>方式：</w:t>
      </w:r>
    </w:p>
    <w:p>
      <w:pPr>
        <w:numPr>
          <w:ilvl w:val="0"/>
          <w:numId w:val="0"/>
        </w:numPr>
        <w:tabs>
          <w:tab w:val="left" w:pos="540"/>
        </w:tabs>
        <w:spacing w:line="374" w:lineRule="auto"/>
        <w:ind w:left="0" w:firstLine="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19.1本次竞投会采取填写报价书和公布报价的方式进行。竞投人的报价书必须由法定代表人或授权代表填写，签名确认；报价书应密封，在密封袋上写明招标人名称，在密封处由法人或授权代表人签名。报价书一经递交，不得撤回或修改。</w:t>
      </w:r>
    </w:p>
    <w:p>
      <w:pPr>
        <w:numPr>
          <w:ilvl w:val="0"/>
          <w:numId w:val="0"/>
        </w:numPr>
        <w:tabs>
          <w:tab w:val="left" w:pos="540"/>
        </w:tabs>
        <w:spacing w:line="374" w:lineRule="auto"/>
        <w:ind w:left="0" w:firstLine="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19.2本项目采取一次性报价，所报价格不得低于本项目设定的最低限价。若报价金额低于设定的最低限价，则报价无效；若报价金额不低于本项目设定的最低限价，则采取价高者得的原则确定中标人。</w:t>
      </w:r>
      <w:r>
        <w:rPr>
          <w:rFonts w:hint="eastAsia" w:ascii="宋体" w:hAnsi="宋体"/>
          <w:b/>
          <w:bCs/>
          <w:color w:val="auto"/>
          <w:sz w:val="24"/>
          <w:highlight w:val="none"/>
          <w:lang w:val="en-US" w:eastAsia="zh-CN"/>
        </w:rPr>
        <w:t>若出现最高报价相同的，按提交报价书的先后顺序确定中标人（即最先提交报价书者为中标人）</w:t>
      </w:r>
      <w:r>
        <w:rPr>
          <w:rFonts w:hint="eastAsia" w:ascii="宋体" w:hAnsi="宋体"/>
          <w:color w:val="auto"/>
          <w:sz w:val="24"/>
          <w:highlight w:val="none"/>
          <w:lang w:val="en-US" w:eastAsia="zh-CN"/>
        </w:rPr>
        <w:t>。</w:t>
      </w:r>
    </w:p>
    <w:p>
      <w:pPr>
        <w:rPr>
          <w:rFonts w:hint="eastAsia" w:ascii="宋体" w:hAnsi="宋体"/>
          <w:color w:val="auto"/>
          <w:sz w:val="24"/>
          <w:highlight w:val="none"/>
          <w:lang w:val="en-US" w:eastAsia="zh-CN"/>
        </w:rPr>
      </w:pPr>
      <w:r>
        <w:rPr>
          <w:rFonts w:hint="eastAsia" w:ascii="宋体" w:hAnsi="宋体"/>
          <w:color w:val="auto"/>
          <w:sz w:val="24"/>
          <w:highlight w:val="none"/>
          <w:lang w:val="en-US" w:eastAsia="zh-CN"/>
        </w:rPr>
        <w:br w:type="page"/>
      </w:r>
    </w:p>
    <w:p>
      <w:pPr>
        <w:pStyle w:val="2"/>
        <w:rPr>
          <w:rFonts w:hint="eastAsia"/>
          <w:color w:val="auto"/>
          <w:highlight w:val="none"/>
          <w:lang w:val="en-US" w:eastAsia="zh-CN"/>
        </w:rPr>
      </w:pPr>
    </w:p>
    <w:p>
      <w:pPr>
        <w:spacing w:after="120" w:afterLines="50" w:line="360" w:lineRule="auto"/>
        <w:jc w:val="center"/>
        <w:outlineLvl w:val="0"/>
        <w:rPr>
          <w:rFonts w:ascii="宋体"/>
          <w:b/>
          <w:color w:val="auto"/>
          <w:sz w:val="36"/>
          <w:szCs w:val="36"/>
          <w:highlight w:val="none"/>
          <w:lang w:val="zh-CN"/>
        </w:rPr>
      </w:pPr>
      <w:bookmarkStart w:id="72" w:name="_Toc30654"/>
      <w:bookmarkStart w:id="73" w:name="_Toc334432596"/>
      <w:bookmarkStart w:id="74" w:name="_Toc27419"/>
      <w:bookmarkStart w:id="75" w:name="_Toc8823"/>
      <w:bookmarkStart w:id="76" w:name="_Toc15468"/>
      <w:r>
        <w:rPr>
          <w:rFonts w:hint="eastAsia" w:ascii="宋体" w:hAnsi="宋体" w:eastAsia="宋体" w:cs="Times New Roman"/>
          <w:b/>
          <w:color w:val="auto"/>
          <w:kern w:val="2"/>
          <w:sz w:val="36"/>
          <w:szCs w:val="36"/>
          <w:highlight w:val="none"/>
          <w:lang w:val="en-US" w:eastAsia="zh-CN" w:bidi="ar-SA"/>
        </w:rPr>
        <w:t>第四部分合同书范本</w:t>
      </w:r>
      <w:bookmarkEnd w:id="72"/>
      <w:bookmarkEnd w:id="73"/>
      <w:bookmarkEnd w:id="74"/>
      <w:bookmarkEnd w:id="75"/>
      <w:bookmarkEnd w:id="76"/>
    </w:p>
    <w:p>
      <w:pPr>
        <w:spacing w:line="360" w:lineRule="auto"/>
        <w:ind w:left="46" w:leftChars="22"/>
        <w:rPr>
          <w:rFonts w:hAnsi="宋体"/>
          <w:color w:val="auto"/>
          <w:sz w:val="24"/>
          <w:szCs w:val="24"/>
          <w:highlight w:val="none"/>
        </w:rPr>
      </w:pPr>
      <w:r>
        <w:rPr>
          <w:rFonts w:hint="eastAsia" w:hAnsi="宋体"/>
          <w:bCs/>
          <w:color w:val="auto"/>
          <w:kern w:val="44"/>
          <w:sz w:val="24"/>
          <w:szCs w:val="24"/>
          <w:highlight w:val="none"/>
          <w:lang w:val="zh-CN"/>
        </w:rPr>
        <w:t>注：</w:t>
      </w:r>
      <w:r>
        <w:rPr>
          <w:rFonts w:hint="eastAsia" w:ascii="宋体" w:hAnsi="宋体"/>
          <w:color w:val="auto"/>
          <w:sz w:val="24"/>
          <w:szCs w:val="24"/>
          <w:highlight w:val="none"/>
        </w:rPr>
        <w:t>在不违背各方认可的文件内容前提下，对个别非实质性条款可由合同当事人协商修订，</w:t>
      </w:r>
      <w:r>
        <w:rPr>
          <w:rFonts w:hint="eastAsia" w:hAnsi="宋体"/>
          <w:bCs/>
          <w:color w:val="auto"/>
          <w:kern w:val="44"/>
          <w:sz w:val="24"/>
          <w:szCs w:val="24"/>
          <w:highlight w:val="none"/>
          <w:lang w:val="zh-CN"/>
        </w:rPr>
        <w:t>最终以甲、乙双方签订的合同为准。合同封面也可按甲乙双方意愿，自行编制修订。</w:t>
      </w:r>
    </w:p>
    <w:p>
      <w:pPr>
        <w:spacing w:line="360" w:lineRule="auto"/>
        <w:jc w:val="center"/>
        <w:rPr>
          <w:rFonts w:hAnsi="宋体"/>
          <w:color w:val="auto"/>
          <w:sz w:val="24"/>
          <w:szCs w:val="24"/>
          <w:highlight w:val="none"/>
        </w:rPr>
      </w:pPr>
    </w:p>
    <w:p>
      <w:pPr>
        <w:rPr>
          <w:color w:val="auto"/>
          <w:sz w:val="24"/>
          <w:highlight w:val="none"/>
        </w:rPr>
      </w:pPr>
    </w:p>
    <w:p>
      <w:pPr>
        <w:jc w:val="center"/>
        <w:rPr>
          <w:rFonts w:eastAsia="黑体"/>
          <w:color w:val="auto"/>
          <w:sz w:val="52"/>
          <w:highlight w:val="none"/>
        </w:rPr>
      </w:pPr>
    </w:p>
    <w:p>
      <w:pPr>
        <w:spacing w:line="776" w:lineRule="exact"/>
        <w:ind w:right="-453"/>
        <w:jc w:val="center"/>
        <w:rPr>
          <w:rFonts w:ascii="宋体"/>
          <w:color w:val="auto"/>
          <w:sz w:val="68"/>
          <w:highlight w:val="none"/>
        </w:rPr>
      </w:pPr>
      <w:r>
        <w:rPr>
          <w:rFonts w:ascii="宋体"/>
          <w:color w:val="auto"/>
          <w:sz w:val="68"/>
          <w:highlight w:val="none"/>
        </w:rPr>
        <w:br w:type="page"/>
      </w:r>
    </w:p>
    <w:p>
      <w:pPr>
        <w:spacing w:line="776" w:lineRule="exact"/>
        <w:ind w:right="-453"/>
        <w:jc w:val="center"/>
        <w:rPr>
          <w:rFonts w:ascii="宋体"/>
          <w:color w:val="auto"/>
          <w:sz w:val="68"/>
          <w:highlight w:val="none"/>
        </w:rPr>
      </w:pPr>
    </w:p>
    <w:p>
      <w:pPr>
        <w:spacing w:line="776" w:lineRule="exact"/>
        <w:ind w:right="-453"/>
        <w:jc w:val="center"/>
        <w:rPr>
          <w:rFonts w:hint="eastAsia" w:ascii="宋体" w:hAnsi="宋体" w:eastAsia="宋体"/>
          <w:color w:val="auto"/>
          <w:sz w:val="68"/>
          <w:highlight w:val="none"/>
          <w:lang w:eastAsia="zh-CN"/>
        </w:rPr>
      </w:pPr>
      <w:r>
        <w:rPr>
          <w:rFonts w:hint="eastAsia" w:ascii="宋体" w:hAnsi="宋体"/>
          <w:color w:val="auto"/>
          <w:sz w:val="68"/>
          <w:highlight w:val="none"/>
          <w:lang w:eastAsia="zh-CN"/>
        </w:rPr>
        <w:t>吉利竹甫村车辆停放管理服务</w:t>
      </w:r>
    </w:p>
    <w:p>
      <w:pPr>
        <w:spacing w:line="200" w:lineRule="exact"/>
        <w:rPr>
          <w:rFonts w:eastAsia="Times New Roman"/>
          <w:color w:val="auto"/>
          <w:highlight w:val="none"/>
        </w:rPr>
      </w:pPr>
    </w:p>
    <w:p>
      <w:pPr>
        <w:spacing w:line="347" w:lineRule="exact"/>
        <w:rPr>
          <w:rFonts w:eastAsia="Times New Roman"/>
          <w:color w:val="auto"/>
          <w:highlight w:val="none"/>
        </w:rPr>
      </w:pPr>
    </w:p>
    <w:p>
      <w:pPr>
        <w:spacing w:line="776" w:lineRule="exact"/>
        <w:ind w:right="-453"/>
        <w:jc w:val="center"/>
        <w:rPr>
          <w:rFonts w:ascii="宋体" w:hAnsi="宋体"/>
          <w:color w:val="auto"/>
          <w:sz w:val="68"/>
          <w:highlight w:val="none"/>
        </w:rPr>
      </w:pPr>
      <w:r>
        <w:rPr>
          <w:rFonts w:ascii="宋体" w:hAnsi="宋体"/>
          <w:color w:val="auto"/>
          <w:sz w:val="68"/>
          <w:highlight w:val="none"/>
        </w:rPr>
        <w:t>合同书</w:t>
      </w:r>
    </w:p>
    <w:p>
      <w:pPr>
        <w:spacing w:line="200" w:lineRule="exact"/>
        <w:rPr>
          <w:rFonts w:eastAsia="Times New Roman"/>
          <w:color w:val="auto"/>
          <w:highlight w:val="none"/>
        </w:rPr>
      </w:pPr>
    </w:p>
    <w:p>
      <w:pPr>
        <w:spacing w:line="360" w:lineRule="auto"/>
        <w:rPr>
          <w:rFonts w:eastAsia="Times New Roman"/>
          <w:color w:val="auto"/>
          <w:highlight w:val="none"/>
        </w:rPr>
      </w:pPr>
    </w:p>
    <w:p>
      <w:pPr>
        <w:spacing w:line="360" w:lineRule="auto"/>
        <w:rPr>
          <w:rFonts w:eastAsia="Times New Roman"/>
          <w:color w:val="auto"/>
          <w:sz w:val="24"/>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32" w:lineRule="exact"/>
        <w:rPr>
          <w:rFonts w:eastAsia="Times New Roman"/>
          <w:color w:val="auto"/>
          <w:highlight w:val="none"/>
        </w:rPr>
      </w:pPr>
    </w:p>
    <w:tbl>
      <w:tblPr>
        <w:tblStyle w:val="19"/>
        <w:tblW w:w="7682" w:type="dxa"/>
        <w:tblInd w:w="1040" w:type="dxa"/>
        <w:tblLayout w:type="fixed"/>
        <w:tblCellMar>
          <w:top w:w="0" w:type="dxa"/>
          <w:left w:w="0" w:type="dxa"/>
          <w:bottom w:w="0" w:type="dxa"/>
          <w:right w:w="0" w:type="dxa"/>
        </w:tblCellMar>
      </w:tblPr>
      <w:tblGrid>
        <w:gridCol w:w="1488"/>
        <w:gridCol w:w="6194"/>
      </w:tblGrid>
      <w:tr>
        <w:tblPrEx>
          <w:tblCellMar>
            <w:top w:w="0" w:type="dxa"/>
            <w:left w:w="0" w:type="dxa"/>
            <w:bottom w:w="0" w:type="dxa"/>
            <w:right w:w="0" w:type="dxa"/>
          </w:tblCellMar>
        </w:tblPrEx>
        <w:trPr>
          <w:trHeight w:val="575" w:hRule="atLeast"/>
        </w:trPr>
        <w:tc>
          <w:tcPr>
            <w:tcW w:w="1488" w:type="dxa"/>
            <w:noWrap w:val="0"/>
            <w:vAlign w:val="bottom"/>
          </w:tcPr>
          <w:p>
            <w:pPr>
              <w:spacing w:line="3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w:t>
            </w:r>
          </w:p>
        </w:tc>
        <w:tc>
          <w:tcPr>
            <w:tcW w:w="6194" w:type="dxa"/>
            <w:tcBorders>
              <w:bottom w:val="single" w:color="auto" w:sz="4" w:space="0"/>
            </w:tcBorders>
            <w:noWrap w:val="0"/>
            <w:vAlign w:val="bottom"/>
          </w:tcPr>
          <w:p>
            <w:pPr>
              <w:spacing w:line="320" w:lineRule="exact"/>
              <w:jc w:val="center"/>
              <w:rPr>
                <w:rFonts w:hint="eastAsia" w:ascii="宋体" w:hAnsi="宋体" w:eastAsia="宋体" w:cs="宋体"/>
                <w:color w:val="auto"/>
                <w:w w:val="99"/>
                <w:sz w:val="32"/>
                <w:szCs w:val="32"/>
                <w:highlight w:val="none"/>
                <w:lang w:eastAsia="zh-CN"/>
              </w:rPr>
            </w:pPr>
            <w:r>
              <w:rPr>
                <w:rFonts w:hint="eastAsia" w:ascii="宋体" w:hAnsi="宋体" w:cs="宋体"/>
                <w:color w:val="auto"/>
                <w:w w:val="99"/>
                <w:sz w:val="32"/>
                <w:szCs w:val="32"/>
                <w:highlight w:val="none"/>
                <w:lang w:eastAsia="zh-CN"/>
              </w:rPr>
              <w:t>佛山市禅城区南庄镇吉利村竹甫经济合作社</w:t>
            </w:r>
          </w:p>
        </w:tc>
      </w:tr>
      <w:tr>
        <w:tblPrEx>
          <w:tblCellMar>
            <w:top w:w="0" w:type="dxa"/>
            <w:left w:w="0" w:type="dxa"/>
            <w:bottom w:w="0" w:type="dxa"/>
            <w:right w:w="0" w:type="dxa"/>
          </w:tblCellMar>
        </w:tblPrEx>
        <w:trPr>
          <w:trHeight w:val="726" w:hRule="atLeast"/>
        </w:trPr>
        <w:tc>
          <w:tcPr>
            <w:tcW w:w="1488" w:type="dxa"/>
            <w:noWrap w:val="0"/>
            <w:vAlign w:val="bottom"/>
          </w:tcPr>
          <w:p>
            <w:pPr>
              <w:spacing w:line="313"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w:t>
            </w:r>
          </w:p>
        </w:tc>
        <w:tc>
          <w:tcPr>
            <w:tcW w:w="6194" w:type="dxa"/>
            <w:tcBorders>
              <w:top w:val="single" w:color="auto" w:sz="4" w:space="0"/>
              <w:bottom w:val="single" w:color="auto" w:sz="4" w:space="0"/>
            </w:tcBorders>
            <w:noWrap w:val="0"/>
            <w:vAlign w:val="bottom"/>
          </w:tcPr>
          <w:p>
            <w:pPr>
              <w:spacing w:line="313" w:lineRule="exact"/>
              <w:jc w:val="center"/>
              <w:rPr>
                <w:rFonts w:hint="eastAsia" w:ascii="宋体" w:hAnsi="宋体" w:eastAsia="宋体" w:cs="宋体"/>
                <w:color w:val="auto"/>
                <w:w w:val="99"/>
                <w:sz w:val="32"/>
                <w:szCs w:val="32"/>
                <w:highlight w:val="none"/>
              </w:rPr>
            </w:pPr>
            <w:r>
              <w:rPr>
                <w:rFonts w:hint="eastAsia" w:ascii="宋体" w:hAnsi="宋体" w:eastAsia="宋体" w:cs="宋体"/>
                <w:color w:val="auto"/>
                <w:w w:val="99"/>
                <w:sz w:val="32"/>
                <w:szCs w:val="32"/>
                <w:highlight w:val="none"/>
              </w:rPr>
              <w:t>（中标</w:t>
            </w:r>
            <w:r>
              <w:rPr>
                <w:rFonts w:hint="eastAsia" w:ascii="宋体" w:hAnsi="宋体" w:eastAsia="宋体" w:cs="宋体"/>
                <w:color w:val="auto"/>
                <w:w w:val="99"/>
                <w:sz w:val="32"/>
                <w:szCs w:val="32"/>
                <w:highlight w:val="none"/>
                <w:lang w:eastAsia="zh-CN"/>
              </w:rPr>
              <w:t>人</w:t>
            </w:r>
            <w:r>
              <w:rPr>
                <w:rFonts w:hint="eastAsia" w:ascii="宋体" w:hAnsi="宋体" w:eastAsia="宋体" w:cs="宋体"/>
                <w:color w:val="auto"/>
                <w:w w:val="99"/>
                <w:sz w:val="32"/>
                <w:szCs w:val="32"/>
                <w:highlight w:val="none"/>
              </w:rPr>
              <w:t>）</w:t>
            </w:r>
          </w:p>
        </w:tc>
      </w:tr>
      <w:tr>
        <w:tblPrEx>
          <w:tblCellMar>
            <w:top w:w="0" w:type="dxa"/>
            <w:left w:w="0" w:type="dxa"/>
            <w:bottom w:w="0" w:type="dxa"/>
            <w:right w:w="0" w:type="dxa"/>
          </w:tblCellMar>
        </w:tblPrEx>
        <w:trPr>
          <w:trHeight w:val="749" w:hRule="atLeast"/>
        </w:trPr>
        <w:tc>
          <w:tcPr>
            <w:tcW w:w="1488" w:type="dxa"/>
            <w:noWrap w:val="0"/>
            <w:vAlign w:val="bottom"/>
          </w:tcPr>
          <w:p>
            <w:pPr>
              <w:spacing w:line="316" w:lineRule="exact"/>
              <w:jc w:val="right"/>
              <w:rPr>
                <w:rFonts w:hint="eastAsia" w:ascii="宋体" w:hAnsi="宋体" w:eastAsia="宋体" w:cs="宋体"/>
                <w:color w:val="auto"/>
                <w:w w:val="98"/>
                <w:sz w:val="28"/>
                <w:szCs w:val="28"/>
                <w:highlight w:val="none"/>
              </w:rPr>
            </w:pPr>
            <w:r>
              <w:rPr>
                <w:rFonts w:hint="eastAsia" w:ascii="宋体" w:hAnsi="宋体" w:eastAsia="宋体" w:cs="宋体"/>
                <w:color w:val="auto"/>
                <w:w w:val="98"/>
                <w:sz w:val="28"/>
                <w:szCs w:val="28"/>
                <w:highlight w:val="none"/>
              </w:rPr>
              <w:t>签订日期：</w:t>
            </w:r>
          </w:p>
        </w:tc>
        <w:tc>
          <w:tcPr>
            <w:tcW w:w="6194" w:type="dxa"/>
            <w:tcBorders>
              <w:top w:val="single" w:color="auto" w:sz="4" w:space="0"/>
              <w:bottom w:val="single" w:color="auto" w:sz="8" w:space="0"/>
            </w:tcBorders>
            <w:noWrap w:val="0"/>
            <w:vAlign w:val="bottom"/>
          </w:tcPr>
          <w:p>
            <w:pPr>
              <w:spacing w:line="316" w:lineRule="exact"/>
              <w:ind w:left="252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年月日</w:t>
            </w:r>
          </w:p>
        </w:tc>
      </w:tr>
    </w:tbl>
    <w:p>
      <w:pPr>
        <w:rPr>
          <w:rFonts w:eastAsia="Times New Roman"/>
          <w:color w:val="auto"/>
          <w:sz w:val="19"/>
          <w:highlight w:val="none"/>
        </w:rPr>
        <w:sectPr>
          <w:pgSz w:w="11850" w:h="16783"/>
          <w:pgMar w:top="1134" w:right="1134" w:bottom="1134" w:left="1417" w:header="567" w:footer="567" w:gutter="0"/>
          <w:pgBorders>
            <w:top w:val="none" w:sz="0" w:space="0"/>
            <w:left w:val="none" w:sz="0" w:space="0"/>
            <w:bottom w:val="none" w:sz="0" w:space="0"/>
            <w:right w:val="none" w:sz="0" w:space="0"/>
          </w:pgBorders>
          <w:pgNumType w:fmt="decimal"/>
          <w:cols w:space="0" w:num="1"/>
          <w:rtlGutter w:val="0"/>
          <w:docGrid w:linePitch="360" w:charSpace="0"/>
        </w:sect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00" w:lineRule="exact"/>
        <w:rPr>
          <w:rFonts w:eastAsia="Times New Roman"/>
          <w:color w:val="auto"/>
          <w:highlight w:val="none"/>
        </w:rPr>
      </w:pPr>
    </w:p>
    <w:p>
      <w:pPr>
        <w:spacing w:line="225" w:lineRule="exact"/>
        <w:rPr>
          <w:rFonts w:eastAsia="Times New Roman"/>
          <w:color w:val="auto"/>
          <w:highlight w:val="none"/>
        </w:rPr>
      </w:pPr>
    </w:p>
    <w:p>
      <w:pPr>
        <w:spacing w:line="0" w:lineRule="atLeast"/>
        <w:ind w:right="-473"/>
        <w:jc w:val="center"/>
        <w:rPr>
          <w:rFonts w:eastAsia="Times New Roman"/>
          <w:color w:val="auto"/>
          <w:sz w:val="18"/>
          <w:highlight w:val="none"/>
        </w:rPr>
        <w:sectPr>
          <w:type w:val="continuous"/>
          <w:pgSz w:w="11850" w:h="16783"/>
          <w:pgMar w:top="1134" w:right="1134" w:bottom="1134" w:left="1417" w:header="0" w:footer="0" w:gutter="0"/>
          <w:pgBorders>
            <w:top w:val="none" w:sz="0" w:space="0"/>
            <w:left w:val="none" w:sz="0" w:space="0"/>
            <w:bottom w:val="none" w:sz="0" w:space="0"/>
            <w:right w:val="none" w:sz="0" w:space="0"/>
          </w:pgBorders>
          <w:pgNumType w:fmt="decimal"/>
          <w:cols w:space="0" w:num="1"/>
          <w:rtlGutter w:val="0"/>
          <w:docGrid w:linePitch="360" w:charSpace="0"/>
        </w:sectPr>
      </w:pPr>
    </w:p>
    <w:p>
      <w:pPr>
        <w:pStyle w:val="34"/>
        <w:pageBreakBefore/>
        <w:spacing w:line="360" w:lineRule="auto"/>
        <w:jc w:val="center"/>
        <w:rPr>
          <w:b/>
          <w:color w:val="auto"/>
          <w:kern w:val="0"/>
          <w:sz w:val="44"/>
          <w:szCs w:val="44"/>
          <w:highlight w:val="none"/>
        </w:rPr>
      </w:pPr>
      <w:bookmarkStart w:id="77" w:name="page77"/>
      <w:bookmarkEnd w:id="77"/>
      <w:r>
        <w:rPr>
          <w:rFonts w:hint="eastAsia"/>
          <w:b/>
          <w:color w:val="auto"/>
          <w:kern w:val="0"/>
          <w:sz w:val="44"/>
          <w:szCs w:val="44"/>
          <w:highlight w:val="none"/>
        </w:rPr>
        <w:t>南庄镇农村采购项目合同书</w:t>
      </w:r>
    </w:p>
    <w:p>
      <w:pPr>
        <w:pStyle w:val="34"/>
        <w:spacing w:line="360" w:lineRule="auto"/>
        <w:rPr>
          <w:color w:val="auto"/>
          <w:szCs w:val="22"/>
          <w:highlight w:val="none"/>
        </w:rPr>
      </w:pPr>
    </w:p>
    <w:tbl>
      <w:tblPr>
        <w:tblStyle w:val="19"/>
        <w:tblW w:w="8580" w:type="dxa"/>
        <w:tblInd w:w="0" w:type="dxa"/>
        <w:tblLayout w:type="fixed"/>
        <w:tblCellMar>
          <w:top w:w="0" w:type="dxa"/>
          <w:left w:w="108" w:type="dxa"/>
          <w:bottom w:w="0" w:type="dxa"/>
          <w:right w:w="108" w:type="dxa"/>
        </w:tblCellMar>
      </w:tblPr>
      <w:tblGrid>
        <w:gridCol w:w="1470"/>
        <w:gridCol w:w="7110"/>
      </w:tblGrid>
      <w:tr>
        <w:tblPrEx>
          <w:tblCellMar>
            <w:top w:w="0" w:type="dxa"/>
            <w:left w:w="108" w:type="dxa"/>
            <w:bottom w:w="0" w:type="dxa"/>
            <w:right w:w="108" w:type="dxa"/>
          </w:tblCellMar>
        </w:tblPrEx>
        <w:trPr>
          <w:trHeight w:val="470" w:hRule="atLeast"/>
        </w:trPr>
        <w:tc>
          <w:tcPr>
            <w:tcW w:w="1470" w:type="dxa"/>
            <w:noWrap w:val="0"/>
            <w:vAlign w:val="center"/>
          </w:tcPr>
          <w:p>
            <w:pPr>
              <w:pStyle w:val="34"/>
              <w:spacing w:line="360" w:lineRule="auto"/>
              <w:rPr>
                <w:b/>
                <w:color w:val="auto"/>
                <w:sz w:val="24"/>
                <w:szCs w:val="24"/>
                <w:highlight w:val="none"/>
              </w:rPr>
            </w:pPr>
            <w:r>
              <w:rPr>
                <w:rFonts w:hint="eastAsia"/>
                <w:b/>
                <w:color w:val="auto"/>
                <w:sz w:val="24"/>
                <w:szCs w:val="24"/>
                <w:highlight w:val="none"/>
              </w:rPr>
              <w:t>项目名称：</w:t>
            </w:r>
          </w:p>
        </w:tc>
        <w:tc>
          <w:tcPr>
            <w:tcW w:w="7110" w:type="dxa"/>
            <w:tcBorders>
              <w:top w:val="nil"/>
              <w:left w:val="nil"/>
              <w:bottom w:val="single" w:color="auto" w:sz="4" w:space="0"/>
              <w:right w:val="nil"/>
            </w:tcBorders>
            <w:noWrap w:val="0"/>
            <w:vAlign w:val="center"/>
          </w:tcPr>
          <w:p>
            <w:pPr>
              <w:pStyle w:val="34"/>
              <w:widowControl/>
              <w:spacing w:line="360" w:lineRule="auto"/>
              <w:jc w:val="both"/>
              <w:rPr>
                <w:rFonts w:hint="eastAsia" w:eastAsia="宋体"/>
                <w:color w:val="auto"/>
                <w:kern w:val="0"/>
                <w:sz w:val="24"/>
                <w:szCs w:val="24"/>
                <w:highlight w:val="none"/>
                <w:lang w:eastAsia="zh-CN"/>
              </w:rPr>
            </w:pPr>
            <w:r>
              <w:rPr>
                <w:rFonts w:hint="eastAsia" w:ascii="宋体" w:hAnsi="宋体"/>
                <w:color w:val="auto"/>
                <w:sz w:val="24"/>
                <w:szCs w:val="24"/>
                <w:highlight w:val="none"/>
                <w:lang w:eastAsia="zh-CN"/>
              </w:rPr>
              <w:t>吉利竹甫村车辆停放管理服务</w:t>
            </w:r>
          </w:p>
        </w:tc>
      </w:tr>
      <w:tr>
        <w:tblPrEx>
          <w:tblCellMar>
            <w:top w:w="0" w:type="dxa"/>
            <w:left w:w="108" w:type="dxa"/>
            <w:bottom w:w="0" w:type="dxa"/>
            <w:right w:w="108" w:type="dxa"/>
          </w:tblCellMar>
        </w:tblPrEx>
        <w:trPr>
          <w:trHeight w:val="480" w:hRule="atLeast"/>
        </w:trPr>
        <w:tc>
          <w:tcPr>
            <w:tcW w:w="1470" w:type="dxa"/>
            <w:noWrap w:val="0"/>
            <w:vAlign w:val="center"/>
          </w:tcPr>
          <w:p>
            <w:pPr>
              <w:pStyle w:val="34"/>
              <w:spacing w:line="360" w:lineRule="auto"/>
              <w:rPr>
                <w:b/>
                <w:color w:val="auto"/>
                <w:sz w:val="24"/>
                <w:szCs w:val="24"/>
                <w:highlight w:val="none"/>
              </w:rPr>
            </w:pPr>
            <w:r>
              <w:rPr>
                <w:rFonts w:hint="eastAsia"/>
                <w:b/>
                <w:color w:val="auto"/>
                <w:sz w:val="24"/>
                <w:szCs w:val="24"/>
                <w:highlight w:val="none"/>
              </w:rPr>
              <w:t>交易编号：</w:t>
            </w:r>
          </w:p>
        </w:tc>
        <w:tc>
          <w:tcPr>
            <w:tcW w:w="7110" w:type="dxa"/>
            <w:tcBorders>
              <w:top w:val="nil"/>
              <w:left w:val="nil"/>
              <w:bottom w:val="single" w:color="auto" w:sz="4" w:space="0"/>
              <w:right w:val="nil"/>
            </w:tcBorders>
            <w:noWrap w:val="0"/>
            <w:vAlign w:val="center"/>
          </w:tcPr>
          <w:p>
            <w:pPr>
              <w:pStyle w:val="34"/>
              <w:widowControl/>
              <w:spacing w:line="360" w:lineRule="auto"/>
              <w:jc w:val="both"/>
              <w:rPr>
                <w:rFonts w:hint="eastAsia" w:eastAsia="宋体"/>
                <w:color w:val="auto"/>
                <w:kern w:val="0"/>
                <w:sz w:val="24"/>
                <w:szCs w:val="24"/>
                <w:highlight w:val="none"/>
                <w:lang w:eastAsia="zh-CN"/>
              </w:rPr>
            </w:pPr>
            <w:r>
              <w:rPr>
                <w:rFonts w:hint="eastAsia" w:ascii="宋体" w:hAnsi="宋体"/>
                <w:color w:val="auto"/>
                <w:sz w:val="24"/>
                <w:szCs w:val="24"/>
                <w:highlight w:val="none"/>
                <w:lang w:eastAsia="zh-CN"/>
              </w:rPr>
              <w:t>GDZC-23JJ135</w:t>
            </w:r>
          </w:p>
        </w:tc>
      </w:tr>
      <w:tr>
        <w:tblPrEx>
          <w:tblCellMar>
            <w:top w:w="0" w:type="dxa"/>
            <w:left w:w="108" w:type="dxa"/>
            <w:bottom w:w="0" w:type="dxa"/>
            <w:right w:w="108" w:type="dxa"/>
          </w:tblCellMar>
        </w:tblPrEx>
        <w:trPr>
          <w:trHeight w:val="480" w:hRule="atLeast"/>
        </w:trPr>
        <w:tc>
          <w:tcPr>
            <w:tcW w:w="1470" w:type="dxa"/>
            <w:noWrap w:val="0"/>
            <w:vAlign w:val="center"/>
          </w:tcPr>
          <w:p>
            <w:pPr>
              <w:pStyle w:val="34"/>
              <w:spacing w:line="360" w:lineRule="auto"/>
              <w:rPr>
                <w:b/>
                <w:color w:val="auto"/>
                <w:sz w:val="24"/>
                <w:szCs w:val="24"/>
                <w:highlight w:val="none"/>
              </w:rPr>
            </w:pPr>
            <w:r>
              <w:rPr>
                <w:rFonts w:hint="eastAsia"/>
                <w:b/>
                <w:color w:val="auto"/>
                <w:sz w:val="24"/>
                <w:szCs w:val="24"/>
                <w:highlight w:val="none"/>
              </w:rPr>
              <w:t>甲方：</w:t>
            </w:r>
          </w:p>
        </w:tc>
        <w:tc>
          <w:tcPr>
            <w:tcW w:w="7110" w:type="dxa"/>
            <w:tcBorders>
              <w:top w:val="single" w:color="auto" w:sz="4" w:space="0"/>
              <w:left w:val="nil"/>
              <w:bottom w:val="single" w:color="auto" w:sz="4" w:space="0"/>
              <w:right w:val="nil"/>
            </w:tcBorders>
            <w:noWrap w:val="0"/>
            <w:vAlign w:val="center"/>
          </w:tcPr>
          <w:p>
            <w:pPr>
              <w:pStyle w:val="35"/>
              <w:jc w:val="both"/>
              <w:rPr>
                <w:rFonts w:hint="eastAsia" w:eastAsia="宋体"/>
                <w:color w:val="auto"/>
                <w:sz w:val="24"/>
                <w:szCs w:val="24"/>
                <w:highlight w:val="none"/>
                <w:lang w:eastAsia="zh-CN"/>
              </w:rPr>
            </w:pPr>
            <w:r>
              <w:rPr>
                <w:rFonts w:hint="eastAsia"/>
                <w:color w:val="auto"/>
                <w:sz w:val="24"/>
                <w:szCs w:val="24"/>
                <w:highlight w:val="none"/>
                <w:lang w:eastAsia="zh-CN"/>
              </w:rPr>
              <w:t>佛山市禅城区南庄镇吉利村竹甫经济合作社</w:t>
            </w:r>
          </w:p>
        </w:tc>
      </w:tr>
      <w:tr>
        <w:tblPrEx>
          <w:tblCellMar>
            <w:top w:w="0" w:type="dxa"/>
            <w:left w:w="108" w:type="dxa"/>
            <w:bottom w:w="0" w:type="dxa"/>
            <w:right w:w="108" w:type="dxa"/>
          </w:tblCellMar>
        </w:tblPrEx>
        <w:trPr>
          <w:trHeight w:val="491" w:hRule="atLeast"/>
        </w:trPr>
        <w:tc>
          <w:tcPr>
            <w:tcW w:w="1470" w:type="dxa"/>
            <w:noWrap w:val="0"/>
            <w:vAlign w:val="center"/>
          </w:tcPr>
          <w:p>
            <w:pPr>
              <w:pStyle w:val="34"/>
              <w:spacing w:line="360" w:lineRule="auto"/>
              <w:rPr>
                <w:b/>
                <w:color w:val="auto"/>
                <w:sz w:val="24"/>
                <w:szCs w:val="24"/>
                <w:highlight w:val="none"/>
              </w:rPr>
            </w:pPr>
            <w:r>
              <w:rPr>
                <w:rFonts w:hint="eastAsia" w:ascii="宋体" w:hAnsi="宋体"/>
                <w:b/>
                <w:color w:val="auto"/>
                <w:sz w:val="24"/>
                <w:szCs w:val="24"/>
                <w:highlight w:val="none"/>
              </w:rPr>
              <w:t>乙方：</w:t>
            </w:r>
          </w:p>
        </w:tc>
        <w:tc>
          <w:tcPr>
            <w:tcW w:w="7110" w:type="dxa"/>
            <w:tcBorders>
              <w:top w:val="single" w:color="auto" w:sz="4" w:space="0"/>
              <w:left w:val="nil"/>
              <w:bottom w:val="single" w:color="auto" w:sz="4" w:space="0"/>
              <w:right w:val="nil"/>
            </w:tcBorders>
            <w:noWrap w:val="0"/>
            <w:vAlign w:val="center"/>
          </w:tcPr>
          <w:p>
            <w:pPr>
              <w:pStyle w:val="34"/>
              <w:spacing w:line="360" w:lineRule="auto"/>
              <w:jc w:val="both"/>
              <w:rPr>
                <w:rFonts w:ascii="宋体" w:hAnsi="宋体"/>
                <w:b/>
                <w:color w:val="auto"/>
                <w:sz w:val="24"/>
                <w:szCs w:val="24"/>
                <w:highlight w:val="none"/>
              </w:rPr>
            </w:pPr>
            <w:r>
              <w:rPr>
                <w:rFonts w:hint="eastAsia" w:ascii="宋体" w:hAnsi="宋体"/>
                <w:b/>
                <w:color w:val="auto"/>
                <w:sz w:val="24"/>
                <w:szCs w:val="24"/>
                <w:highlight w:val="none"/>
              </w:rPr>
              <w:t>（</w:t>
            </w:r>
            <w:r>
              <w:rPr>
                <w:rFonts w:hint="eastAsia" w:ascii="宋体" w:hAnsi="宋体"/>
                <w:b/>
                <w:color w:val="auto"/>
                <w:sz w:val="24"/>
                <w:szCs w:val="24"/>
                <w:highlight w:val="none"/>
                <w:lang w:eastAsia="zh-CN"/>
              </w:rPr>
              <w:t>中标人</w:t>
            </w:r>
            <w:r>
              <w:rPr>
                <w:rFonts w:hint="eastAsia" w:ascii="宋体" w:hAnsi="宋体"/>
                <w:b/>
                <w:color w:val="auto"/>
                <w:sz w:val="24"/>
                <w:szCs w:val="24"/>
                <w:highlight w:val="none"/>
              </w:rPr>
              <w:t>）</w:t>
            </w:r>
          </w:p>
        </w:tc>
      </w:tr>
    </w:tbl>
    <w:p>
      <w:pPr>
        <w:pStyle w:val="34"/>
        <w:spacing w:line="360" w:lineRule="auto"/>
        <w:rPr>
          <w:color w:val="auto"/>
          <w:szCs w:val="22"/>
          <w:highlight w:val="none"/>
        </w:rPr>
      </w:pPr>
    </w:p>
    <w:p>
      <w:pPr>
        <w:pStyle w:val="36"/>
        <w:spacing w:line="360" w:lineRule="auto"/>
        <w:ind w:firstLine="420"/>
        <w:rPr>
          <w:color w:val="auto"/>
          <w:szCs w:val="21"/>
          <w:highlight w:val="none"/>
        </w:rPr>
      </w:pPr>
      <w:r>
        <w:rPr>
          <w:rFonts w:hint="eastAsia"/>
          <w:color w:val="auto"/>
          <w:sz w:val="24"/>
          <w:szCs w:val="24"/>
          <w:highlight w:val="none"/>
        </w:rPr>
        <w:t>根据《中华人民共和国民法典》、本项目采购文件的要求，</w:t>
      </w:r>
      <w:r>
        <w:rPr>
          <w:rFonts w:hint="eastAsia"/>
          <w:color w:val="auto"/>
          <w:kern w:val="28"/>
          <w:sz w:val="24"/>
          <w:szCs w:val="24"/>
          <w:highlight w:val="none"/>
        </w:rPr>
        <w:t>经双方协商，</w:t>
      </w:r>
      <w:r>
        <w:rPr>
          <w:rFonts w:hint="eastAsia"/>
          <w:color w:val="auto"/>
          <w:sz w:val="24"/>
          <w:szCs w:val="24"/>
          <w:highlight w:val="none"/>
        </w:rPr>
        <w:t>本着平等互利和诚实信用的原则，</w:t>
      </w:r>
      <w:r>
        <w:rPr>
          <w:rFonts w:hint="eastAsia"/>
          <w:color w:val="auto"/>
          <w:kern w:val="28"/>
          <w:sz w:val="24"/>
          <w:szCs w:val="24"/>
          <w:highlight w:val="none"/>
        </w:rPr>
        <w:t>一致同意签订本合同如下。</w:t>
      </w:r>
    </w:p>
    <w:p>
      <w:pPr>
        <w:pStyle w:val="35"/>
        <w:numPr>
          <w:ilvl w:val="0"/>
          <w:numId w:val="31"/>
        </w:numPr>
        <w:spacing w:before="240" w:beforeLines="100" w:after="120" w:afterLines="50" w:line="360" w:lineRule="auto"/>
        <w:rPr>
          <w:rFonts w:hint="default" w:asciiTheme="minorEastAsia" w:hAnsiTheme="minorEastAsia" w:eastAsiaTheme="minorEastAsia" w:cstheme="minorEastAsia"/>
          <w:b/>
          <w:bCs/>
          <w:color w:val="auto"/>
          <w:sz w:val="24"/>
          <w:szCs w:val="24"/>
          <w:highlight w:val="none"/>
          <w:lang w:val="en-US" w:eastAsia="zh-CN"/>
        </w:rPr>
      </w:pPr>
      <w:bookmarkStart w:id="78" w:name="_Toc78604605"/>
      <w:r>
        <w:rPr>
          <w:rFonts w:hint="eastAsia" w:asciiTheme="minorEastAsia" w:hAnsiTheme="minorEastAsia" w:eastAsiaTheme="minorEastAsia" w:cstheme="minorEastAsia"/>
          <w:b/>
          <w:bCs/>
          <w:color w:val="auto"/>
          <w:sz w:val="24"/>
          <w:szCs w:val="24"/>
          <w:highlight w:val="none"/>
          <w:lang w:val="en-US" w:eastAsia="zh-CN"/>
        </w:rPr>
        <w:t>项目概况</w:t>
      </w:r>
    </w:p>
    <w:p>
      <w:pPr>
        <w:pStyle w:val="35"/>
        <w:numPr>
          <w:ilvl w:val="-1"/>
          <w:numId w:val="0"/>
        </w:numPr>
        <w:spacing w:before="240" w:beforeLines="100" w:after="120" w:afterLines="50" w:line="360" w:lineRule="auto"/>
        <w:ind w:left="0" w:leftChars="0" w:firstLine="480" w:firstLineChars="200"/>
        <w:rPr>
          <w:rFonts w:hint="default" w:asciiTheme="minorEastAsia" w:hAnsiTheme="minorEastAsia" w:eastAsiaTheme="minorEastAsia" w:cstheme="minorEastAsia"/>
          <w:b/>
          <w:bCs/>
          <w:color w:val="auto"/>
          <w:sz w:val="24"/>
          <w:szCs w:val="24"/>
          <w:highlight w:val="none"/>
          <w:lang w:val="en-US" w:eastAsia="zh-CN"/>
        </w:rPr>
      </w:pP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将</w:t>
      </w:r>
      <w:r>
        <w:rPr>
          <w:rFonts w:hint="eastAsia" w:ascii="宋体" w:hAnsi="宋体" w:eastAsia="宋体" w:cs="宋体"/>
          <w:color w:val="auto"/>
          <w:sz w:val="24"/>
          <w:szCs w:val="24"/>
          <w:highlight w:val="none"/>
          <w:lang w:eastAsia="zh-CN"/>
        </w:rPr>
        <w:t>位于</w:t>
      </w:r>
      <w:r>
        <w:rPr>
          <w:rFonts w:hint="eastAsia" w:ascii="宋体" w:hAnsi="宋体" w:cs="宋体"/>
          <w:color w:val="auto"/>
          <w:sz w:val="24"/>
          <w:szCs w:val="24"/>
          <w:highlight w:val="none"/>
          <w:lang w:val="en-US" w:eastAsia="zh-CN"/>
        </w:rPr>
        <w:t>本村车辆停放管理服务</w:t>
      </w:r>
      <w:r>
        <w:rPr>
          <w:rFonts w:hint="eastAsia" w:ascii="宋体" w:hAnsi="宋体" w:eastAsia="宋体" w:cs="宋体"/>
          <w:color w:val="auto"/>
          <w:sz w:val="24"/>
          <w:szCs w:val="24"/>
          <w:highlight w:val="none"/>
          <w:lang w:val="en-US" w:eastAsia="zh-CN"/>
        </w:rPr>
        <w:t>工作委托给</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经营管理，合同期限为</w:t>
      </w:r>
      <w:r>
        <w:rPr>
          <w:rFonts w:hint="eastAsia" w:ascii="宋体" w:hAnsi="宋体" w:cs="宋体"/>
          <w:color w:val="auto"/>
          <w:sz w:val="24"/>
          <w:szCs w:val="24"/>
          <w:highlight w:val="none"/>
          <w:lang w:val="en-US" w:eastAsia="zh-CN"/>
        </w:rPr>
        <w:t>5年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须按</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lang w:val="en-US" w:eastAsia="zh-CN"/>
        </w:rPr>
        <w:t>价向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支付费用</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乙方必须在中标通知书发出之日起15个工作日内完成本停车场在佛山市停车场管理系统登记备案。</w:t>
      </w:r>
    </w:p>
    <w:p>
      <w:pPr>
        <w:pStyle w:val="35"/>
        <w:numPr>
          <w:ilvl w:val="0"/>
          <w:numId w:val="31"/>
        </w:numPr>
        <w:spacing w:before="240" w:beforeLines="100" w:after="120" w:afterLines="50" w:line="360" w:lineRule="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范围区域</w:t>
      </w:r>
    </w:p>
    <w:p>
      <w:pPr>
        <w:pStyle w:val="36"/>
        <w:spacing w:line="360" w:lineRule="auto"/>
        <w:ind w:firstLine="420"/>
        <w:rPr>
          <w:rFonts w:hint="default"/>
          <w:color w:val="auto"/>
          <w:sz w:val="24"/>
          <w:szCs w:val="24"/>
          <w:highlight w:val="none"/>
          <w:lang w:val="en-US" w:eastAsia="zh-CN"/>
        </w:rPr>
      </w:pPr>
      <w:r>
        <w:rPr>
          <w:rFonts w:hint="default"/>
          <w:color w:val="auto"/>
          <w:sz w:val="24"/>
          <w:szCs w:val="24"/>
          <w:highlight w:val="none"/>
          <w:lang w:val="en-US" w:eastAsia="zh-CN"/>
        </w:rPr>
        <w:t>竹甫村闸口内的停车范围（已有划线车位约200个）；</w:t>
      </w:r>
    </w:p>
    <w:p>
      <w:pPr>
        <w:pStyle w:val="35"/>
        <w:numPr>
          <w:ilvl w:val="0"/>
          <w:numId w:val="31"/>
        </w:numPr>
        <w:spacing w:before="240" w:beforeLines="100" w:after="120" w:afterLines="50" w:line="360" w:lineRule="auto"/>
        <w:rPr>
          <w:b/>
          <w:bCs/>
          <w:color w:val="auto"/>
          <w:sz w:val="24"/>
          <w:szCs w:val="24"/>
          <w:highlight w:val="none"/>
        </w:rPr>
      </w:pPr>
      <w:r>
        <w:rPr>
          <w:rFonts w:hint="eastAsia"/>
          <w:b/>
          <w:bCs/>
          <w:color w:val="auto"/>
          <w:sz w:val="24"/>
          <w:szCs w:val="24"/>
          <w:highlight w:val="none"/>
        </w:rPr>
        <w:t>设施建设地点</w:t>
      </w:r>
    </w:p>
    <w:p>
      <w:pPr>
        <w:pStyle w:val="30"/>
        <w:numPr>
          <w:ilvl w:val="0"/>
          <w:numId w:val="0"/>
        </w:numPr>
        <w:spacing w:line="360" w:lineRule="auto"/>
        <w:ind w:leftChars="-173" w:firstLine="720" w:firstLineChars="300"/>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eastAsia="zh-CN"/>
        </w:rPr>
        <w:t>在竹甫村口、竹甫庙旁、竹甫宝盛行旁、竹甫酒厂等4个车辆进出通道点位。</w:t>
      </w:r>
    </w:p>
    <w:p>
      <w:pPr>
        <w:pStyle w:val="30"/>
        <w:numPr>
          <w:ilvl w:val="0"/>
          <w:numId w:val="0"/>
        </w:numPr>
        <w:spacing w:line="360" w:lineRule="auto"/>
        <w:ind w:left="479" w:leftChars="228" w:firstLine="1020" w:firstLineChars="425"/>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点位一：</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点位二</w:t>
      </w:r>
    </w:p>
    <w:p>
      <w:pPr>
        <w:pStyle w:val="30"/>
        <w:numPr>
          <w:ilvl w:val="0"/>
          <w:numId w:val="0"/>
        </w:numPr>
        <w:spacing w:line="360" w:lineRule="auto"/>
        <w:ind w:left="415" w:leftChars="0" w:hanging="415" w:hangingChars="173"/>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drawing>
          <wp:inline distT="0" distB="0" distL="114300" distR="114300">
            <wp:extent cx="2312035" cy="1734185"/>
            <wp:effectExtent l="0" t="0" r="12065" b="18415"/>
            <wp:docPr id="46" name="图片 46" descr="703f212ee5d7872d39a866ac9c6c3db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703f212ee5d7872d39a866ac9c6c3db2_"/>
                    <pic:cNvPicPr>
                      <a:picLocks noChangeAspect="1"/>
                    </pic:cNvPicPr>
                  </pic:nvPicPr>
                  <pic:blipFill>
                    <a:blip r:embed="rId9"/>
                    <a:stretch>
                      <a:fillRect/>
                    </a:stretch>
                  </pic:blipFill>
                  <pic:spPr>
                    <a:xfrm>
                      <a:off x="0" y="0"/>
                      <a:ext cx="2312035" cy="1734185"/>
                    </a:xfrm>
                    <a:prstGeom prst="rect">
                      <a:avLst/>
                    </a:prstGeom>
                  </pic:spPr>
                </pic:pic>
              </a:graphicData>
            </a:graphic>
          </wp:inline>
        </w:drawing>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drawing>
          <wp:inline distT="0" distB="0" distL="114300" distR="114300">
            <wp:extent cx="2364740" cy="1773555"/>
            <wp:effectExtent l="0" t="0" r="16510" b="17145"/>
            <wp:docPr id="47" name="图片 47" descr="d880c392b202214a21c284c49ae15a1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d880c392b202214a21c284c49ae15a1e_"/>
                    <pic:cNvPicPr>
                      <a:picLocks noChangeAspect="1"/>
                    </pic:cNvPicPr>
                  </pic:nvPicPr>
                  <pic:blipFill>
                    <a:blip r:embed="rId10"/>
                    <a:stretch>
                      <a:fillRect/>
                    </a:stretch>
                  </pic:blipFill>
                  <pic:spPr>
                    <a:xfrm>
                      <a:off x="0" y="0"/>
                      <a:ext cx="2364740" cy="1773555"/>
                    </a:xfrm>
                    <a:prstGeom prst="rect">
                      <a:avLst/>
                    </a:prstGeom>
                  </pic:spPr>
                </pic:pic>
              </a:graphicData>
            </a:graphic>
          </wp:inline>
        </w:drawing>
      </w:r>
    </w:p>
    <w:p>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br w:type="page"/>
      </w:r>
    </w:p>
    <w:p>
      <w:pPr>
        <w:pStyle w:val="30"/>
        <w:numPr>
          <w:ilvl w:val="0"/>
          <w:numId w:val="0"/>
        </w:numPr>
        <w:spacing w:line="360" w:lineRule="auto"/>
        <w:ind w:left="479" w:leftChars="228" w:firstLine="780" w:firstLineChars="325"/>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点位三：</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点位四：</w:t>
      </w:r>
    </w:p>
    <w:p>
      <w:pPr>
        <w:pStyle w:val="30"/>
        <w:numPr>
          <w:ilvl w:val="0"/>
          <w:numId w:val="0"/>
        </w:numPr>
        <w:spacing w:line="360" w:lineRule="auto"/>
        <w:ind w:left="415" w:leftChars="0" w:hanging="415" w:hangingChars="173"/>
        <w:jc w:val="both"/>
        <w:rPr>
          <w:rFonts w:hint="eastAsia" w:ascii="Times New Roman" w:hAnsi="Times New Roman" w:eastAsia="宋体" w:cs="Times New Roman"/>
          <w:b/>
          <w:bCs/>
          <w:color w:val="auto"/>
          <w:sz w:val="24"/>
          <w:szCs w:val="24"/>
          <w:highlight w:val="none"/>
          <w:lang w:eastAsia="zh-CN"/>
        </w:rPr>
      </w:pPr>
      <w:r>
        <w:rPr>
          <w:rFonts w:hint="eastAsia" w:ascii="宋体" w:hAnsi="宋体" w:cs="宋体"/>
          <w:color w:val="auto"/>
          <w:sz w:val="24"/>
          <w:szCs w:val="24"/>
          <w:highlight w:val="none"/>
          <w:lang w:eastAsia="zh-CN"/>
        </w:rPr>
        <w:drawing>
          <wp:inline distT="0" distB="0" distL="114300" distR="114300">
            <wp:extent cx="2375535" cy="1781810"/>
            <wp:effectExtent l="0" t="0" r="5715" b="8890"/>
            <wp:docPr id="48" name="图片 48" descr="9881d18e312ea7d077952f8a231f8b2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9881d18e312ea7d077952f8a231f8b27_"/>
                    <pic:cNvPicPr>
                      <a:picLocks noChangeAspect="1"/>
                    </pic:cNvPicPr>
                  </pic:nvPicPr>
                  <pic:blipFill>
                    <a:blip r:embed="rId11"/>
                    <a:stretch>
                      <a:fillRect/>
                    </a:stretch>
                  </pic:blipFill>
                  <pic:spPr>
                    <a:xfrm>
                      <a:off x="0" y="0"/>
                      <a:ext cx="2375535" cy="1781810"/>
                    </a:xfrm>
                    <a:prstGeom prst="rect">
                      <a:avLst/>
                    </a:prstGeom>
                  </pic:spPr>
                </pic:pic>
              </a:graphicData>
            </a:graphic>
          </wp:inline>
        </w:drawing>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drawing>
          <wp:inline distT="0" distB="0" distL="114300" distR="114300">
            <wp:extent cx="2362200" cy="1771650"/>
            <wp:effectExtent l="0" t="0" r="0" b="0"/>
            <wp:docPr id="49" name="图片 49" descr="51cc62903fe163b6e351932adec3ee8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51cc62903fe163b6e351932adec3ee89_"/>
                    <pic:cNvPicPr>
                      <a:picLocks noChangeAspect="1"/>
                    </pic:cNvPicPr>
                  </pic:nvPicPr>
                  <pic:blipFill>
                    <a:blip r:embed="rId12"/>
                    <a:stretch>
                      <a:fillRect/>
                    </a:stretch>
                  </pic:blipFill>
                  <pic:spPr>
                    <a:xfrm>
                      <a:off x="0" y="0"/>
                      <a:ext cx="2362200" cy="1771650"/>
                    </a:xfrm>
                    <a:prstGeom prst="rect">
                      <a:avLst/>
                    </a:prstGeom>
                  </pic:spPr>
                </pic:pic>
              </a:graphicData>
            </a:graphic>
          </wp:inline>
        </w:drawing>
      </w:r>
    </w:p>
    <w:p>
      <w:pPr>
        <w:pStyle w:val="35"/>
        <w:numPr>
          <w:ilvl w:val="0"/>
          <w:numId w:val="31"/>
        </w:numPr>
        <w:rPr>
          <w:b/>
          <w:bCs/>
          <w:color w:val="auto"/>
          <w:sz w:val="24"/>
          <w:szCs w:val="24"/>
          <w:highlight w:val="none"/>
        </w:rPr>
      </w:pPr>
      <w:r>
        <w:rPr>
          <w:rFonts w:hint="eastAsia" w:ascii="Times New Roman" w:hAnsi="Times New Roman" w:eastAsia="宋体" w:cs="Times New Roman"/>
          <w:b/>
          <w:bCs/>
          <w:color w:val="auto"/>
          <w:sz w:val="24"/>
          <w:szCs w:val="24"/>
          <w:highlight w:val="none"/>
        </w:rPr>
        <w:t>人员</w:t>
      </w:r>
      <w:r>
        <w:rPr>
          <w:rFonts w:hint="eastAsia"/>
          <w:b/>
          <w:bCs/>
          <w:color w:val="auto"/>
          <w:sz w:val="24"/>
          <w:szCs w:val="24"/>
          <w:highlight w:val="none"/>
        </w:rPr>
        <w:t>配置：需配备不少于3名人员在现场进行24小时管理</w:t>
      </w:r>
    </w:p>
    <w:p>
      <w:pPr>
        <w:pStyle w:val="35"/>
        <w:numPr>
          <w:ilvl w:val="0"/>
          <w:numId w:val="31"/>
        </w:numPr>
        <w:spacing w:before="240" w:beforeLines="100" w:after="120" w:afterLines="50" w:line="360" w:lineRule="auto"/>
        <w:rPr>
          <w:b/>
          <w:bCs/>
          <w:color w:val="auto"/>
          <w:sz w:val="24"/>
          <w:szCs w:val="24"/>
          <w:highlight w:val="none"/>
        </w:rPr>
      </w:pPr>
      <w:r>
        <w:rPr>
          <w:rFonts w:hint="eastAsia"/>
          <w:b/>
          <w:bCs/>
          <w:color w:val="auto"/>
          <w:sz w:val="24"/>
          <w:szCs w:val="24"/>
          <w:highlight w:val="none"/>
        </w:rPr>
        <w:t>设备和工程量清单</w:t>
      </w:r>
      <w:r>
        <w:rPr>
          <w:rFonts w:hint="eastAsia"/>
          <w:b/>
          <w:bCs/>
          <w:color w:val="auto"/>
          <w:sz w:val="24"/>
          <w:szCs w:val="24"/>
          <w:highlight w:val="none"/>
          <w:lang w:eastAsia="zh-CN"/>
        </w:rPr>
        <w:t>（详见附件）</w:t>
      </w:r>
    </w:p>
    <w:p>
      <w:pPr>
        <w:pStyle w:val="30"/>
        <w:numPr>
          <w:ilvl w:val="0"/>
          <w:numId w:val="0"/>
        </w:numPr>
        <w:tabs>
          <w:tab w:val="left" w:pos="220"/>
        </w:tabs>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（1）智能停车系统设备采购、安装及维保费用总预算约为 290000.00元内(大写:人民币贰拾玖万元整），其中智能停车系统设备采购及安装费用约为210,000.00元(大写:人民币贰拾壹万元整），5年的维保费用约为80,000.00元(大写:人民币捌万元整），以乙方实际支出费用为准。智能停车系统设备采购、安装及维保等一切费用已包含在中标价内由乙方负责，甲方不再另行支出。</w:t>
      </w:r>
    </w:p>
    <w:p>
      <w:pPr>
        <w:pStyle w:val="30"/>
        <w:numPr>
          <w:ilvl w:val="0"/>
          <w:numId w:val="0"/>
        </w:numPr>
        <w:tabs>
          <w:tab w:val="left" w:pos="220"/>
        </w:tabs>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质量标准：清单中第一部分“硬件部分”设备参考品牌为艾科、捷顺、启功或同等质量以上的品牌，且必须提供厂家授权书，质保期5年。乙方拟投入的设备清单（含品牌、型号等）须甲方确认后才能实施安装，否则视为乙方违约。</w:t>
      </w:r>
    </w:p>
    <w:p>
      <w:pPr>
        <w:pStyle w:val="35"/>
        <w:numPr>
          <w:ilvl w:val="0"/>
          <w:numId w:val="31"/>
        </w:numPr>
        <w:spacing w:before="240" w:beforeLines="100" w:after="120" w:afterLines="50" w:line="360" w:lineRule="auto"/>
        <w:rPr>
          <w:b/>
          <w:bCs/>
          <w:color w:val="auto"/>
          <w:sz w:val="24"/>
          <w:szCs w:val="24"/>
          <w:highlight w:val="none"/>
        </w:rPr>
      </w:pPr>
      <w:r>
        <w:rPr>
          <w:rFonts w:hint="eastAsia"/>
          <w:b/>
          <w:bCs/>
          <w:color w:val="auto"/>
          <w:sz w:val="24"/>
          <w:szCs w:val="24"/>
          <w:highlight w:val="none"/>
        </w:rPr>
        <w:t>停泊位设置</w:t>
      </w:r>
    </w:p>
    <w:p>
      <w:pPr>
        <w:pStyle w:val="35"/>
        <w:numPr>
          <w:ilvl w:val="0"/>
          <w:numId w:val="0"/>
        </w:numPr>
        <w:spacing w:before="240" w:beforeLines="100" w:after="120" w:afterLines="50" w:line="360" w:lineRule="auto"/>
        <w:ind w:leftChars="0" w:firstLine="480" w:firstLineChars="200"/>
        <w:rPr>
          <w:b/>
          <w:bCs/>
          <w:color w:val="auto"/>
          <w:sz w:val="24"/>
          <w:szCs w:val="24"/>
          <w:highlight w:val="none"/>
        </w:rPr>
      </w:pPr>
      <w:r>
        <w:rPr>
          <w:rFonts w:hint="eastAsia" w:ascii="宋体" w:hAnsi="宋体" w:eastAsia="宋体" w:cs="宋体"/>
          <w:b w:val="0"/>
          <w:bCs w:val="0"/>
          <w:color w:val="auto"/>
          <w:sz w:val="24"/>
          <w:szCs w:val="24"/>
          <w:highlight w:val="none"/>
          <w:lang w:val="en-US" w:eastAsia="zh-CN"/>
        </w:rPr>
        <w:t>目前吉利</w:t>
      </w:r>
      <w:r>
        <w:rPr>
          <w:rFonts w:hint="eastAsia" w:ascii="宋体" w:hAnsi="宋体" w:cs="宋体"/>
          <w:b w:val="0"/>
          <w:bCs w:val="0"/>
          <w:color w:val="auto"/>
          <w:sz w:val="24"/>
          <w:szCs w:val="24"/>
          <w:highlight w:val="none"/>
          <w:lang w:val="en-US" w:eastAsia="zh-CN"/>
        </w:rPr>
        <w:t>竹甫村</w:t>
      </w:r>
      <w:r>
        <w:rPr>
          <w:rFonts w:hint="eastAsia" w:ascii="宋体" w:hAnsi="宋体" w:eastAsia="宋体" w:cs="宋体"/>
          <w:b w:val="0"/>
          <w:bCs w:val="0"/>
          <w:color w:val="auto"/>
          <w:sz w:val="24"/>
          <w:szCs w:val="24"/>
          <w:highlight w:val="none"/>
          <w:lang w:val="en-US" w:eastAsia="zh-CN"/>
        </w:rPr>
        <w:t>已有划线车位约</w:t>
      </w:r>
      <w:r>
        <w:rPr>
          <w:rFonts w:hint="eastAsia" w:ascii="宋体" w:hAnsi="宋体" w:cs="宋体"/>
          <w:b w:val="0"/>
          <w:bCs w:val="0"/>
          <w:color w:val="auto"/>
          <w:sz w:val="24"/>
          <w:szCs w:val="24"/>
          <w:highlight w:val="none"/>
          <w:lang w:val="en-US" w:eastAsia="zh-CN"/>
        </w:rPr>
        <w:t>200</w:t>
      </w:r>
      <w:r>
        <w:rPr>
          <w:rFonts w:hint="eastAsia" w:ascii="宋体" w:hAnsi="宋体" w:eastAsia="宋体" w:cs="宋体"/>
          <w:b w:val="0"/>
          <w:bCs w:val="0"/>
          <w:color w:val="auto"/>
          <w:sz w:val="24"/>
          <w:szCs w:val="24"/>
          <w:highlight w:val="none"/>
          <w:lang w:val="en-US" w:eastAsia="zh-CN"/>
        </w:rPr>
        <w:t>个，</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需按照</w:t>
      </w:r>
      <w:r>
        <w:rPr>
          <w:rFonts w:hint="eastAsia" w:ascii="宋体" w:hAnsi="宋体" w:cs="宋体"/>
          <w:b w:val="0"/>
          <w:bCs w:val="0"/>
          <w:color w:val="auto"/>
          <w:sz w:val="24"/>
          <w:szCs w:val="24"/>
          <w:highlight w:val="none"/>
          <w:lang w:val="en-US" w:eastAsia="zh-CN"/>
        </w:rPr>
        <w:t>甲方要求</w:t>
      </w:r>
      <w:r>
        <w:rPr>
          <w:rFonts w:hint="eastAsia" w:ascii="宋体" w:hAnsi="宋体" w:eastAsia="宋体" w:cs="宋体"/>
          <w:b w:val="0"/>
          <w:bCs w:val="0"/>
          <w:color w:val="auto"/>
          <w:sz w:val="24"/>
          <w:szCs w:val="24"/>
          <w:highlight w:val="none"/>
          <w:lang w:val="en-US" w:eastAsia="zh-CN"/>
        </w:rPr>
        <w:t>设置合理的泊位进行管理，如需增加或减少车位，需提交可行性方案报</w:t>
      </w:r>
      <w:r>
        <w:rPr>
          <w:rFonts w:hint="eastAsia" w:ascii="宋体" w:hAnsi="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eastAsia="zh-CN"/>
        </w:rPr>
        <w:t>审批后方可进行操作。</w:t>
      </w:r>
    </w:p>
    <w:p>
      <w:pPr>
        <w:pStyle w:val="35"/>
        <w:numPr>
          <w:ilvl w:val="0"/>
          <w:numId w:val="31"/>
        </w:numPr>
        <w:spacing w:before="240" w:beforeLines="100" w:after="120" w:afterLines="50" w:line="360" w:lineRule="auto"/>
        <w:rPr>
          <w:b/>
          <w:bCs/>
          <w:color w:val="auto"/>
          <w:sz w:val="24"/>
          <w:szCs w:val="24"/>
          <w:highlight w:val="none"/>
        </w:rPr>
      </w:pPr>
      <w:r>
        <w:rPr>
          <w:rFonts w:hint="eastAsia"/>
          <w:b/>
          <w:bCs/>
          <w:color w:val="auto"/>
          <w:sz w:val="24"/>
          <w:szCs w:val="24"/>
          <w:highlight w:val="none"/>
          <w:lang w:eastAsia="zh-CN"/>
        </w:rPr>
        <w:t>停车收费要求</w:t>
      </w:r>
    </w:p>
    <w:p>
      <w:pPr>
        <w:pStyle w:val="30"/>
        <w:numPr>
          <w:ilvl w:val="0"/>
          <w:numId w:val="32"/>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服务期为5年，</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同</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签署车辆停放管理合同书，按照中标金额向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缴纳车辆停放管理服务维护费。自第一年起，每两年为一个周期，每个周期内的年度管理费在上一个周期的基础上按首年管理费的8%固定递增（比如首年25万，第1-2年为第一个周期（第一个周期内的年度管理费均为25万），第3-4年为第二个周期，第二个周期（第3-4年）内的年度管理费是25万</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（100%+8%）=27万，第5年为第三个周期，第三个周期在第二个周期的基础上，增加8%，即27</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（100%+8%）=29.16万），每次缴纳的车辆停放管理服务维护费由</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开具有效的租金收据给</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。停车费收取对象为临时停放车辆和外地月租车，按</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制定收费标准收取停车费。政府或下辖单位办公的车辆由</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统一登记后送</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录入车牌免费。与</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存在合同关系的车辆免费。</w:t>
      </w:r>
    </w:p>
    <w:p>
      <w:pPr>
        <w:pStyle w:val="30"/>
        <w:numPr>
          <w:ilvl w:val="0"/>
          <w:numId w:val="32"/>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吉利竹甫村村民自有车辆进行实名登记。吉利竹甫村村民登记区域停车位必须是吉利竹甫村户籍村民，办理必须出示吉利竹甫村村民身份证、户口本等证明及属于本人的行驶证资料。如出现亲属关系的由</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出示相关证明方可办理，例如嫁入吉利竹甫村但户口未迁入等情况。村民出租屋租户车辆办理月租车位必须出示本人车辆相关证明，由出租屋屋主统一收集提供租户车牌信息，并登记出租屋屋主联系电话。</w:t>
      </w:r>
    </w:p>
    <w:p>
      <w:pPr>
        <w:pStyle w:val="30"/>
        <w:numPr>
          <w:ilvl w:val="0"/>
          <w:numId w:val="32"/>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停车位的安排：先满足吉利竹甫村村民车辆停放，然后到村集体物业租户车辆停放，最后再安排其他外来车辆停放。村集体物业租户车辆、其他外来车辆均为临停车辆，</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收取外来车辆停放场地占用费，其中属村集体物业世外陶源工作的车辆，在每日7时00分至19时00分免费停放，其他时段可收费；属村集体物业村口修车档，给予2辆车的名额全天免费停放；属村集体物业羽毛球馆的车辆停放在羽毛球馆的停车场可免费，但该车辆不得停放在外面，否则进行收费；村集体物业的经营单位的车辆信息经甲方确认后，乙方须无条件接受。</w:t>
      </w:r>
    </w:p>
    <w:p>
      <w:pPr>
        <w:pStyle w:val="30"/>
        <w:numPr>
          <w:ilvl w:val="0"/>
          <w:numId w:val="32"/>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临时停车收费标准：</w:t>
      </w:r>
    </w:p>
    <w:p>
      <w:pPr>
        <w:pStyle w:val="30"/>
        <w:numPr>
          <w:ilvl w:val="-1"/>
          <w:numId w:val="0"/>
        </w:numPr>
        <w:spacing w:line="360" w:lineRule="auto"/>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小车类：</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小时内免费，</w:t>
      </w:r>
      <w:r>
        <w:rPr>
          <w:rFonts w:hint="default" w:ascii="宋体" w:hAnsi="宋体" w:cs="宋体"/>
          <w:color w:val="auto"/>
          <w:sz w:val="24"/>
          <w:highlight w:val="none"/>
          <w:lang w:val="en-US" w:eastAsia="zh-CN"/>
        </w:rPr>
        <w:t>超1小时后按5元计算，第二小时后每小时增3元（不足1小时的按1小时计算）</w:t>
      </w:r>
      <w:r>
        <w:rPr>
          <w:rFonts w:hint="eastAsia" w:ascii="宋体" w:hAnsi="宋体" w:eastAsia="宋体" w:cs="宋体"/>
          <w:color w:val="auto"/>
          <w:sz w:val="24"/>
          <w:szCs w:val="24"/>
          <w:highlight w:val="none"/>
          <w:lang w:val="en-US" w:eastAsia="zh-CN"/>
        </w:rPr>
        <w:t>）,每天24小时内最高限价20元，停放超过24小时以上按上述标准累加收费；车辆缴费后，需在15分钟内离场，超时则重新计时收费。</w:t>
      </w:r>
      <w:r>
        <w:rPr>
          <w:rFonts w:hint="eastAsia" w:ascii="宋体" w:hAnsi="宋体" w:cs="宋体"/>
          <w:color w:val="auto"/>
          <w:sz w:val="24"/>
          <w:highlight w:val="none"/>
          <w:lang w:val="en-US" w:eastAsia="zh-CN"/>
        </w:rPr>
        <w:t>（免费停车时长如有调整，以甲方书面通知为准）</w:t>
      </w:r>
    </w:p>
    <w:p>
      <w:pPr>
        <w:pStyle w:val="30"/>
        <w:numPr>
          <w:ilvl w:val="-1"/>
          <w:numId w:val="0"/>
        </w:numPr>
        <w:spacing w:line="360" w:lineRule="auto"/>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每辆车每天累计免费停车时长为</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小时。</w:t>
      </w:r>
    </w:p>
    <w:p>
      <w:pPr>
        <w:pStyle w:val="30"/>
        <w:numPr>
          <w:ilvl w:val="0"/>
          <w:numId w:val="32"/>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月租类收费标准：符合以下条件的车辆可办理月卡（按季度收取），月租办理最多可办理一年，村内外来车辆可按以下方案享有以下优惠：小车：最高不超过150元/月/辆（一次性缴纳的按1年优惠2个月）。车位优先满足吉利竹甫村村民需求。</w:t>
      </w:r>
    </w:p>
    <w:p>
      <w:pPr>
        <w:pStyle w:val="30"/>
        <w:numPr>
          <w:ilvl w:val="0"/>
          <w:numId w:val="0"/>
        </w:numPr>
        <w:spacing w:line="360" w:lineRule="auto"/>
        <w:ind w:left="42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注：逾期未办月/卡的车辆系统自动按临时停车收费标准收费</w:t>
      </w:r>
    </w:p>
    <w:p>
      <w:pPr>
        <w:pStyle w:val="30"/>
        <w:numPr>
          <w:ilvl w:val="0"/>
          <w:numId w:val="32"/>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重要节假日免收停车费，如春节（年二十八凌晨至正月初九凌晨）、清明节等节日免收费。</w:t>
      </w:r>
    </w:p>
    <w:p>
      <w:pPr>
        <w:pStyle w:val="30"/>
        <w:numPr>
          <w:ilvl w:val="0"/>
          <w:numId w:val="32"/>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村重要传统节日、村民生日、婚庆、弥月、丧事等亲友车辆需要在村内停放的，须在事项进行前向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报备，报备后给予免费，并由车场管理处统一安排在临时停车位内停放。并由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提供二维码给办事村民专用，时间由村民所定，一般不超过一个星期，超期后二维码自动作废。</w:t>
      </w:r>
    </w:p>
    <w:p>
      <w:pPr>
        <w:pStyle w:val="30"/>
        <w:numPr>
          <w:ilvl w:val="0"/>
          <w:numId w:val="32"/>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户籍村民或非吉利竹甫村户籍嫁入吉利竹甫村的村民驾驶非本人名下的车辆时，需提供相关证明材料由</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村干部和</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核实后，可报备登记视为临时户籍车辆，若登记吉利竹甫村非户籍村民的车辆停放在户籍村民自家车库可免费，但该车辆不得在外面过夜，如每月有发现3次以上，则取消免费处理。</w:t>
      </w:r>
    </w:p>
    <w:p>
      <w:pPr>
        <w:pStyle w:val="30"/>
        <w:numPr>
          <w:ilvl w:val="0"/>
          <w:numId w:val="32"/>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村民建房需要堆放建筑材料，按建房户数（一户）免费提供3至4个车位，如超过5个车位，则当外来车临停收费。</w:t>
      </w:r>
    </w:p>
    <w:p>
      <w:pPr>
        <w:pStyle w:val="30"/>
        <w:numPr>
          <w:ilvl w:val="0"/>
          <w:numId w:val="32"/>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医院、银行、幼儿园、学校（校巴全天免费停放）吉利村委会和吉利市政等车辆0点—24点全天免费，政府工作人员来村里面办事，</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提供一个二维码在村委会前台，让办事工作人员扫码后免费通行，村委会工作人员全天免费停车。</w:t>
      </w:r>
    </w:p>
    <w:p>
      <w:pPr>
        <w:pStyle w:val="30"/>
        <w:numPr>
          <w:ilvl w:val="0"/>
          <w:numId w:val="32"/>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负责投资安装各车道出入口智能车辆识别设备（按上述4.3设备和工程量清单），各车道出入口必须加装1个以上监控设备，合同到期后，所有设备无偿归</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所有，</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保证设备完好并无条件移交给</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w:t>
      </w:r>
    </w:p>
    <w:p>
      <w:pPr>
        <w:pStyle w:val="30"/>
        <w:numPr>
          <w:ilvl w:val="0"/>
          <w:numId w:val="32"/>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办理临时停车收费业务，每次办理的停车收费期限不能超过12个月，且收费期限不能超过本合同的服务期，若合同服务期满后，</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还有多收取的停车费用，多出部分</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必须退还给付款人后，</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将本项目</w:t>
      </w:r>
      <w:r>
        <w:rPr>
          <w:rFonts w:hint="eastAsia" w:ascii="宋体" w:hAnsi="宋体" w:cs="宋体"/>
          <w:color w:val="auto"/>
          <w:sz w:val="24"/>
          <w:szCs w:val="24"/>
          <w:highlight w:val="none"/>
          <w:lang w:val="en-US" w:eastAsia="zh-CN"/>
        </w:rPr>
        <w:t>的履约保证金</w:t>
      </w:r>
      <w:r>
        <w:rPr>
          <w:rFonts w:hint="eastAsia" w:ascii="宋体" w:hAnsi="宋体" w:eastAsia="宋体" w:cs="宋体"/>
          <w:color w:val="auto"/>
          <w:sz w:val="24"/>
          <w:szCs w:val="24"/>
          <w:highlight w:val="none"/>
          <w:lang w:val="en-US" w:eastAsia="zh-CN"/>
        </w:rPr>
        <w:t>退给</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w:t>
      </w:r>
    </w:p>
    <w:p>
      <w:pPr>
        <w:pStyle w:val="35"/>
        <w:numPr>
          <w:ilvl w:val="0"/>
          <w:numId w:val="31"/>
        </w:numPr>
        <w:spacing w:before="240" w:beforeLines="100" w:after="120" w:afterLines="50" w:line="360" w:lineRule="auto"/>
        <w:rPr>
          <w:b/>
          <w:bCs/>
          <w:color w:val="auto"/>
          <w:sz w:val="24"/>
          <w:szCs w:val="24"/>
          <w:highlight w:val="none"/>
        </w:rPr>
      </w:pPr>
      <w:r>
        <w:rPr>
          <w:rFonts w:hint="eastAsia"/>
          <w:b/>
          <w:bCs/>
          <w:color w:val="auto"/>
          <w:sz w:val="24"/>
          <w:szCs w:val="24"/>
          <w:highlight w:val="none"/>
          <w:lang w:eastAsia="zh-CN"/>
        </w:rPr>
        <w:t>停车管理要求</w:t>
      </w:r>
    </w:p>
    <w:p>
      <w:pPr>
        <w:pStyle w:val="30"/>
        <w:numPr>
          <w:ilvl w:val="0"/>
          <w:numId w:val="33"/>
        </w:numPr>
        <w:spacing w:line="360" w:lineRule="auto"/>
        <w:ind w:left="0" w:leftChars="0" w:firstLine="42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禁止一切货车及有货箱的车辆停放（基建建设或临时施工除外），严禁装有易燃易爆等危险、化学物品的车辆进村及停放。</w:t>
      </w:r>
    </w:p>
    <w:p>
      <w:pPr>
        <w:pStyle w:val="30"/>
        <w:numPr>
          <w:ilvl w:val="0"/>
          <w:numId w:val="33"/>
        </w:numPr>
        <w:spacing w:line="360" w:lineRule="auto"/>
        <w:ind w:left="0" w:leftChars="0" w:firstLine="42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lang w:eastAsia="zh-CN"/>
        </w:rPr>
        <w:t>必须登记好本村的车辆号牌，电话号码，停放地点，车位使用人，住址等，外地的车辆月租车也必须登记其号牌，电话号码等，而且必须停在按规定划好的车位上，外地月租车和临时车按划好的车位有序停放。</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lang w:eastAsia="zh-CN"/>
        </w:rPr>
        <w:t>必须与停车位使用人签订车位承诺责任书，对停车实行规范化管理。巡逻人员24小时巡逻车场并确保各停车位正常使用，督促所有车辆正确使用行车线和停车位，维持停车秩序，保证各车道、车场出入周围道路畅通。文明管理车场，不得以任何理由或形式向车主或司机索取任何利益或报酬。文明礼貌，用语规范，文明服务。在经营管理中如发生纠纷，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lang w:eastAsia="zh-CN"/>
        </w:rPr>
        <w:t>自行处理。</w:t>
      </w:r>
    </w:p>
    <w:p>
      <w:pPr>
        <w:pStyle w:val="30"/>
        <w:numPr>
          <w:ilvl w:val="0"/>
          <w:numId w:val="33"/>
        </w:numPr>
        <w:spacing w:line="360" w:lineRule="auto"/>
        <w:ind w:left="0" w:leftChars="0" w:firstLine="42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lang w:eastAsia="zh-CN"/>
        </w:rPr>
        <w:t>进行车辆停放管理工作，</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lang w:eastAsia="zh-CN"/>
        </w:rPr>
        <w:t>为保证村容村貌和交通顺畅，对于个别车辆不遵守“村区内停放规定”同时不服从工作人员协调，屡教不改乱停乱放的车辆，由</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lang w:eastAsia="zh-CN"/>
        </w:rPr>
        <w:t>拉入黑名单处理（写保证书确保以后不发生同类情况的可以放行，超过3次不允许进入本村区内停车），如有必要村委治安队可协助</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lang w:eastAsia="zh-CN"/>
        </w:rPr>
        <w:t>处理。</w:t>
      </w:r>
    </w:p>
    <w:p>
      <w:pPr>
        <w:pStyle w:val="30"/>
        <w:numPr>
          <w:ilvl w:val="0"/>
          <w:numId w:val="33"/>
        </w:numPr>
        <w:spacing w:line="360" w:lineRule="auto"/>
        <w:ind w:left="0" w:leftChars="0" w:firstLine="42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所有停放在消防通道的车辆进行拉入黑名单处理（写保证书确保以后不发生同类情况的可以放行，超过3次不允许进入本村区内停车）。</w:t>
      </w:r>
    </w:p>
    <w:p>
      <w:pPr>
        <w:pStyle w:val="30"/>
        <w:numPr>
          <w:ilvl w:val="0"/>
          <w:numId w:val="33"/>
        </w:numPr>
        <w:spacing w:line="360" w:lineRule="auto"/>
        <w:ind w:left="0" w:leftChars="0" w:firstLine="42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占用车位、消防通道、行车行人通道的乱摆卖问题处理方法：派放和张贴宣传单张进行不间断推广，不准占用位置乱摆卖，发现有此情况的，进行发放警告通知单，限定时间撤离现场。警告通知后拒绝撤离现场的，拉入黑名单或</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lang w:eastAsia="zh-CN"/>
        </w:rPr>
        <w:t>通知执法相关部门协调进行处理。</w:t>
      </w:r>
    </w:p>
    <w:p>
      <w:pPr>
        <w:pStyle w:val="30"/>
        <w:numPr>
          <w:ilvl w:val="0"/>
          <w:numId w:val="33"/>
        </w:numPr>
        <w:spacing w:line="360" w:lineRule="auto"/>
        <w:ind w:left="0" w:leftChars="0" w:firstLine="42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规范停车常见办法：积分制度，优惠取消，黑名单制度。</w:t>
      </w:r>
    </w:p>
    <w:p>
      <w:pPr>
        <w:pStyle w:val="30"/>
        <w:numPr>
          <w:ilvl w:val="0"/>
          <w:numId w:val="33"/>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系统需具备有智能巡检App，每次村内违停，巡检人员可以拍照上传到系统，前几次可以告知和劝解，如果3次以上违规停车，取消车主对应的停车优惠。</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lang w:eastAsia="zh-CN"/>
        </w:rPr>
        <w:t>在设置停车收费规则时，可以公示优惠后的价格，一旦违规按照原价收费。多次劝告无效的可以拉入黑名单，限制出入时间，优惠月票的购买等。</w:t>
      </w:r>
    </w:p>
    <w:p>
      <w:pPr>
        <w:pStyle w:val="35"/>
        <w:numPr>
          <w:ilvl w:val="0"/>
          <w:numId w:val="31"/>
        </w:numPr>
        <w:spacing w:before="240" w:beforeLines="100" w:after="120" w:afterLines="50" w:line="360" w:lineRule="auto"/>
        <w:rPr>
          <w:rFonts w:hint="eastAsia"/>
          <w:b/>
          <w:bCs/>
          <w:color w:val="auto"/>
          <w:sz w:val="24"/>
          <w:szCs w:val="24"/>
          <w:highlight w:val="none"/>
          <w:lang w:eastAsia="zh-CN"/>
        </w:rPr>
      </w:pPr>
      <w:r>
        <w:rPr>
          <w:rFonts w:hint="eastAsia"/>
          <w:b/>
          <w:bCs/>
          <w:color w:val="auto"/>
          <w:sz w:val="24"/>
          <w:szCs w:val="24"/>
          <w:highlight w:val="none"/>
          <w:lang w:eastAsia="zh-CN"/>
        </w:rPr>
        <w:t>停车应急预案</w:t>
      </w:r>
    </w:p>
    <w:p>
      <w:pPr>
        <w:pStyle w:val="30"/>
        <w:numPr>
          <w:ilvl w:val="0"/>
          <w:numId w:val="34"/>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救援</w:t>
      </w:r>
      <w:r>
        <w:rPr>
          <w:rFonts w:hint="eastAsia" w:ascii="宋体" w:hAnsi="宋体" w:cs="宋体"/>
          <w:b w:val="0"/>
          <w:bCs w:val="0"/>
          <w:color w:val="auto"/>
          <w:sz w:val="24"/>
          <w:szCs w:val="24"/>
          <w:highlight w:val="none"/>
          <w:lang w:val="en-US" w:eastAsia="zh-CN"/>
        </w:rPr>
        <w:t>车辆</w:t>
      </w:r>
      <w:r>
        <w:rPr>
          <w:rFonts w:hint="eastAsia" w:ascii="宋体" w:hAnsi="宋体" w:eastAsia="宋体" w:cs="宋体"/>
          <w:b w:val="0"/>
          <w:bCs w:val="0"/>
          <w:color w:val="auto"/>
          <w:sz w:val="24"/>
          <w:szCs w:val="24"/>
          <w:highlight w:val="none"/>
          <w:lang w:val="en-US" w:eastAsia="zh-CN"/>
        </w:rPr>
        <w:t>，提前远程开闸放行。警车，消防车等车辆默认设置自动放行。特殊情况，人为远程放</w:t>
      </w:r>
      <w:r>
        <w:rPr>
          <w:rFonts w:hint="eastAsia" w:ascii="宋体" w:hAnsi="宋体" w:eastAsia="宋体" w:cs="宋体"/>
          <w:color w:val="auto"/>
          <w:sz w:val="24"/>
          <w:szCs w:val="24"/>
          <w:highlight w:val="none"/>
          <w:lang w:val="en-US" w:eastAsia="zh-CN"/>
        </w:rPr>
        <w:t>行。</w:t>
      </w:r>
    </w:p>
    <w:p>
      <w:pPr>
        <w:pStyle w:val="30"/>
        <w:numPr>
          <w:ilvl w:val="0"/>
          <w:numId w:val="34"/>
        </w:numPr>
        <w:spacing w:line="360" w:lineRule="auto"/>
        <w:ind w:left="0" w:leftChars="0" w:firstLine="42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停车系统可以接入消防联动信号，一旦有消防信号，所有停车闸杆自动抬杆。</w:t>
      </w:r>
    </w:p>
    <w:p>
      <w:pPr>
        <w:pStyle w:val="30"/>
        <w:numPr>
          <w:ilvl w:val="0"/>
          <w:numId w:val="34"/>
        </w:numPr>
        <w:spacing w:line="360" w:lineRule="auto"/>
        <w:ind w:left="0" w:leftChars="0" w:firstLine="42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水灾，爆炸等异常情况发生时，24小时远程监控中心都会及时发现，巡检人员就近前往人工处理。保证道路畅行。</w:t>
      </w:r>
    </w:p>
    <w:p>
      <w:pPr>
        <w:pStyle w:val="35"/>
        <w:numPr>
          <w:ilvl w:val="0"/>
          <w:numId w:val="31"/>
        </w:numPr>
        <w:spacing w:before="240" w:beforeLines="100" w:after="120" w:afterLines="5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考核标准和办法</w:t>
      </w:r>
    </w:p>
    <w:tbl>
      <w:tblPr>
        <w:tblStyle w:val="19"/>
        <w:tblW w:w="9389" w:type="dxa"/>
        <w:tblInd w:w="0" w:type="dxa"/>
        <w:shd w:val="clear" w:color="auto" w:fill="auto"/>
        <w:tblLayout w:type="fixed"/>
        <w:tblCellMar>
          <w:top w:w="0" w:type="dxa"/>
          <w:left w:w="10" w:type="dxa"/>
          <w:bottom w:w="0" w:type="dxa"/>
          <w:right w:w="10" w:type="dxa"/>
        </w:tblCellMar>
      </w:tblPr>
      <w:tblGrid>
        <w:gridCol w:w="643"/>
        <w:gridCol w:w="1373"/>
        <w:gridCol w:w="3437"/>
        <w:gridCol w:w="2715"/>
        <w:gridCol w:w="1221"/>
      </w:tblGrid>
      <w:tr>
        <w:tblPrEx>
          <w:shd w:val="clear" w:color="auto" w:fill="auto"/>
          <w:tblCellMar>
            <w:top w:w="0" w:type="dxa"/>
            <w:left w:w="10" w:type="dxa"/>
            <w:bottom w:w="0" w:type="dxa"/>
            <w:right w:w="10" w:type="dxa"/>
          </w:tblCellMar>
        </w:tblPrEx>
        <w:trPr>
          <w:trHeight w:val="562" w:hRule="exact"/>
        </w:trPr>
        <w:tc>
          <w:tcPr>
            <w:tcW w:w="20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rPr>
              <w:t>考核</w:t>
            </w:r>
            <w:r>
              <w:rPr>
                <w:rFonts w:hint="eastAsia" w:ascii="宋体" w:hAnsi="宋体" w:eastAsia="宋体" w:cs="宋体"/>
                <w:color w:val="auto"/>
                <w:spacing w:val="0"/>
                <w:w w:val="100"/>
                <w:position w:val="0"/>
                <w:sz w:val="24"/>
                <w:szCs w:val="24"/>
                <w:highlight w:val="none"/>
              </w:rPr>
              <w:t>项目</w:t>
            </w:r>
          </w:p>
        </w:tc>
        <w:tc>
          <w:tcPr>
            <w:tcW w:w="34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考核标准</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考核办法</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w w:val="100"/>
                <w:position w:val="0"/>
                <w:sz w:val="24"/>
                <w:szCs w:val="24"/>
                <w:highlight w:val="none"/>
              </w:rPr>
              <w:t>考核</w:t>
            </w:r>
            <w:r>
              <w:rPr>
                <w:rFonts w:hint="eastAsia" w:ascii="宋体" w:hAnsi="宋体" w:eastAsia="宋体" w:cs="宋体"/>
                <w:color w:val="auto"/>
                <w:spacing w:val="0"/>
                <w:w w:val="100"/>
                <w:position w:val="0"/>
                <w:sz w:val="24"/>
                <w:szCs w:val="24"/>
                <w:highlight w:val="none"/>
                <w:lang w:val="en-US" w:eastAsia="zh-CN"/>
              </w:rPr>
              <w:t>人员</w:t>
            </w:r>
          </w:p>
        </w:tc>
      </w:tr>
      <w:tr>
        <w:tblPrEx>
          <w:tblCellMar>
            <w:top w:w="0" w:type="dxa"/>
            <w:left w:w="10" w:type="dxa"/>
            <w:bottom w:w="0" w:type="dxa"/>
            <w:right w:w="10" w:type="dxa"/>
          </w:tblCellMar>
        </w:tblPrEx>
        <w:trPr>
          <w:trHeight w:val="1020" w:hRule="exact"/>
        </w:trPr>
        <w:tc>
          <w:tcPr>
            <w:tcW w:w="6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基础</w:t>
            </w:r>
          </w:p>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质量</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人员资质</w:t>
            </w:r>
          </w:p>
        </w:tc>
        <w:tc>
          <w:tcPr>
            <w:tcW w:w="3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从业人员要按时到岗、统一服装，</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文明礼貌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不符合要求的每项每人每次扣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12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村两委干部及相关工作人员</w:t>
            </w:r>
          </w:p>
        </w:tc>
      </w:tr>
      <w:tr>
        <w:tblPrEx>
          <w:tblCellMar>
            <w:top w:w="0" w:type="dxa"/>
            <w:left w:w="10" w:type="dxa"/>
            <w:bottom w:w="0" w:type="dxa"/>
            <w:right w:w="10" w:type="dxa"/>
          </w:tblCellMar>
        </w:tblPrEx>
        <w:trPr>
          <w:trHeight w:val="1219"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3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从业人员熟练</w:t>
            </w:r>
            <w:r>
              <w:rPr>
                <w:rFonts w:hint="eastAsia" w:ascii="宋体" w:hAnsi="宋体" w:eastAsia="宋体" w:cs="宋体"/>
                <w:color w:val="auto"/>
                <w:sz w:val="24"/>
                <w:szCs w:val="24"/>
                <w:highlight w:val="none"/>
                <w:lang w:val="en-US" w:eastAsia="zh-CN"/>
              </w:rPr>
              <w:t>掌握业务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如村民群众对停车管理有疑问，</w:t>
            </w:r>
            <w:r>
              <w:rPr>
                <w:rFonts w:hint="eastAsia" w:ascii="宋体" w:hAnsi="宋体" w:eastAsia="宋体" w:cs="宋体"/>
                <w:color w:val="auto"/>
                <w:sz w:val="24"/>
                <w:szCs w:val="24"/>
                <w:highlight w:val="none"/>
              </w:rPr>
              <w:t>能够耐心细致解答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避免产生矛盾</w:t>
            </w:r>
            <w:r>
              <w:rPr>
                <w:rFonts w:hint="eastAsia" w:ascii="宋体" w:hAnsi="宋体" w:eastAsia="宋体" w:cs="宋体"/>
                <w:color w:val="auto"/>
                <w:sz w:val="24"/>
                <w:szCs w:val="24"/>
                <w:highlight w:val="none"/>
              </w:rPr>
              <w:t>。</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不符合要求的每人每次扣1分。</w:t>
            </w:r>
          </w:p>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12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643"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设备管理</w:t>
            </w:r>
          </w:p>
        </w:tc>
        <w:tc>
          <w:tcPr>
            <w:tcW w:w="343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定期</w:t>
            </w:r>
            <w:r>
              <w:rPr>
                <w:rFonts w:hint="eastAsia" w:ascii="宋体" w:hAnsi="宋体" w:eastAsia="宋体" w:cs="宋体"/>
                <w:color w:val="auto"/>
                <w:sz w:val="24"/>
                <w:szCs w:val="24"/>
                <w:highlight w:val="none"/>
              </w:rPr>
              <w:t>对设备运行情况进行检查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若设备产生故障，必须在24小时内完成维修</w:t>
            </w:r>
            <w:r>
              <w:rPr>
                <w:rFonts w:hint="eastAsia" w:ascii="宋体" w:hAnsi="宋体" w:eastAsia="宋体" w:cs="宋体"/>
                <w:color w:val="auto"/>
                <w:sz w:val="24"/>
                <w:szCs w:val="24"/>
                <w:highlight w:val="none"/>
              </w:rPr>
              <w:t>。</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val="en-US" w:eastAsia="zh-CN"/>
              </w:rPr>
              <w:t>因设备问题造成拥堵或其他影响的</w:t>
            </w:r>
            <w:r>
              <w:rPr>
                <w:rFonts w:hint="eastAsia" w:ascii="宋体" w:hAnsi="宋体" w:eastAsia="宋体" w:cs="宋体"/>
                <w:color w:val="auto"/>
                <w:sz w:val="24"/>
                <w:szCs w:val="24"/>
                <w:highlight w:val="none"/>
              </w:rPr>
              <w:t>，每次扣1分</w:t>
            </w:r>
          </w:p>
        </w:tc>
        <w:tc>
          <w:tcPr>
            <w:tcW w:w="12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571"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3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w:t>
            </w:r>
            <w:r>
              <w:rPr>
                <w:rFonts w:hint="eastAsia" w:ascii="宋体" w:hAnsi="宋体" w:eastAsia="宋体" w:cs="宋体"/>
                <w:color w:val="auto"/>
                <w:sz w:val="24"/>
                <w:szCs w:val="24"/>
                <w:highlight w:val="none"/>
                <w:lang w:val="en-US" w:eastAsia="zh-CN"/>
              </w:rPr>
              <w:t>及停车场</w:t>
            </w:r>
            <w:r>
              <w:rPr>
                <w:rFonts w:hint="eastAsia" w:ascii="宋体" w:hAnsi="宋体" w:eastAsia="宋体" w:cs="宋体"/>
                <w:color w:val="auto"/>
                <w:sz w:val="24"/>
                <w:szCs w:val="24"/>
                <w:highlight w:val="none"/>
              </w:rPr>
              <w:t>设施标识完好。</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缺失一处</w:t>
            </w:r>
            <w:r>
              <w:rPr>
                <w:rFonts w:hint="eastAsia"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en-US"/>
              </w:rPr>
              <w:t>0.5</w:t>
            </w:r>
            <w:r>
              <w:rPr>
                <w:rFonts w:hint="eastAsia" w:ascii="宋体" w:hAnsi="宋体" w:eastAsia="宋体" w:cs="宋体"/>
                <w:color w:val="auto"/>
                <w:sz w:val="24"/>
                <w:szCs w:val="24"/>
                <w:highlight w:val="none"/>
              </w:rPr>
              <w:t>分。</w:t>
            </w:r>
          </w:p>
        </w:tc>
        <w:tc>
          <w:tcPr>
            <w:tcW w:w="12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950"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案作规程</w:t>
            </w:r>
          </w:p>
        </w:tc>
        <w:tc>
          <w:tcPr>
            <w:tcW w:w="3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在车辆管理中不得扣押车辆停放者证件</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财物</w:t>
            </w:r>
            <w:r>
              <w:rPr>
                <w:rFonts w:hint="eastAsia" w:ascii="宋体" w:hAnsi="宋体" w:eastAsia="宋体" w:cs="宋体"/>
                <w:color w:val="auto"/>
                <w:sz w:val="24"/>
                <w:szCs w:val="24"/>
                <w:highlight w:val="none"/>
                <w:lang w:val="en-US" w:eastAsia="zh-CN"/>
              </w:rPr>
              <w:t>等私人物品</w:t>
            </w:r>
            <w:r>
              <w:rPr>
                <w:rFonts w:hint="eastAsia" w:ascii="宋体" w:hAnsi="宋体" w:eastAsia="宋体" w:cs="宋体"/>
                <w:color w:val="auto"/>
                <w:sz w:val="24"/>
                <w:szCs w:val="24"/>
                <w:highlight w:val="none"/>
              </w:rPr>
              <w:t>。</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发生</w:t>
            </w:r>
            <w:r>
              <w:rPr>
                <w:rFonts w:hint="eastAsia" w:ascii="宋体" w:hAnsi="宋体" w:eastAsia="宋体" w:cs="宋体"/>
                <w:color w:val="auto"/>
                <w:sz w:val="24"/>
                <w:szCs w:val="24"/>
                <w:highlight w:val="none"/>
              </w:rPr>
              <w:t>一次扣2分。</w:t>
            </w:r>
          </w:p>
        </w:tc>
        <w:tc>
          <w:tcPr>
            <w:tcW w:w="12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653"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343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按与</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约定收费标准对停放车辆进行收费及开具有效发票。</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违反</w:t>
            </w:r>
            <w:r>
              <w:rPr>
                <w:rFonts w:hint="eastAsia" w:ascii="宋体" w:hAnsi="宋体" w:eastAsia="宋体" w:cs="宋体"/>
                <w:color w:val="auto"/>
                <w:sz w:val="24"/>
                <w:szCs w:val="24"/>
                <w:highlight w:val="none"/>
              </w:rPr>
              <w:t>一次扣2分。</w:t>
            </w:r>
          </w:p>
        </w:tc>
        <w:tc>
          <w:tcPr>
            <w:tcW w:w="12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1667"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3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在停车场</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发生汽车车损</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事故</w:t>
            </w:r>
            <w:r>
              <w:rPr>
                <w:rFonts w:hint="eastAsia" w:ascii="宋体" w:hAnsi="宋体" w:eastAsia="宋体" w:cs="宋体"/>
                <w:color w:val="auto"/>
                <w:sz w:val="24"/>
                <w:szCs w:val="24"/>
                <w:highlight w:val="none"/>
                <w:lang w:val="en-US" w:eastAsia="zh-CN"/>
              </w:rPr>
              <w:t>等时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需主动</w:t>
            </w:r>
            <w:r>
              <w:rPr>
                <w:rFonts w:hint="eastAsia" w:ascii="宋体" w:hAnsi="宋体" w:eastAsia="宋体" w:cs="宋体"/>
                <w:color w:val="auto"/>
                <w:sz w:val="24"/>
                <w:szCs w:val="24"/>
                <w:highlight w:val="none"/>
              </w:rPr>
              <w:t>报警处</w:t>
            </w:r>
            <w:r>
              <w:rPr>
                <w:rFonts w:hint="eastAsia" w:ascii="宋体" w:hAnsi="宋体" w:eastAsia="宋体" w:cs="宋体"/>
                <w:color w:val="auto"/>
                <w:sz w:val="24"/>
                <w:szCs w:val="24"/>
                <w:highlight w:val="none"/>
                <w:lang w:val="en-US" w:eastAsia="zh-CN"/>
              </w:rPr>
              <w:t>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val="en-US" w:eastAsia="zh-CN"/>
              </w:rPr>
              <w:t>事故造成车辆</w:t>
            </w:r>
            <w:r>
              <w:rPr>
                <w:rFonts w:hint="eastAsia" w:ascii="宋体" w:hAnsi="宋体" w:eastAsia="宋体" w:cs="宋体"/>
                <w:color w:val="auto"/>
                <w:sz w:val="24"/>
                <w:szCs w:val="24"/>
                <w:highlight w:val="none"/>
              </w:rPr>
              <w:t>拥堵的，必须及时协调处理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分钟内</w:t>
            </w:r>
            <w:r>
              <w:rPr>
                <w:rFonts w:hint="eastAsia" w:ascii="宋体" w:hAnsi="宋体" w:eastAsia="宋体" w:cs="宋体"/>
                <w:color w:val="auto"/>
                <w:sz w:val="24"/>
                <w:szCs w:val="24"/>
                <w:highlight w:val="none"/>
                <w:lang w:val="en-US" w:eastAsia="zh-CN"/>
              </w:rPr>
              <w:t>完成</w:t>
            </w:r>
            <w:r>
              <w:rPr>
                <w:rFonts w:hint="eastAsia" w:ascii="宋体" w:hAnsi="宋体" w:eastAsia="宋体" w:cs="宋体"/>
                <w:color w:val="auto"/>
                <w:sz w:val="24"/>
                <w:szCs w:val="24"/>
                <w:highlight w:val="none"/>
              </w:rPr>
              <w:t>疏通。</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违反一次</w:t>
            </w:r>
            <w:r>
              <w:rPr>
                <w:rFonts w:hint="eastAsia"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12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931"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3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要切实履行防火安全、门前三包、</w:t>
            </w:r>
            <w:r>
              <w:rPr>
                <w:rFonts w:hint="eastAsia" w:ascii="宋体" w:hAnsi="宋体" w:eastAsia="宋体" w:cs="宋体"/>
                <w:color w:val="auto"/>
                <w:sz w:val="24"/>
                <w:szCs w:val="24"/>
                <w:highlight w:val="none"/>
                <w:lang w:val="en-US" w:eastAsia="zh-CN"/>
              </w:rPr>
              <w:t>治安安全等</w:t>
            </w:r>
            <w:r>
              <w:rPr>
                <w:rFonts w:hint="eastAsia" w:ascii="宋体" w:hAnsi="宋体" w:eastAsia="宋体" w:cs="宋体"/>
                <w:color w:val="auto"/>
                <w:sz w:val="24"/>
                <w:szCs w:val="24"/>
                <w:highlight w:val="none"/>
              </w:rPr>
              <w:t>义务。</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产生问题一次</w:t>
            </w:r>
            <w:r>
              <w:rPr>
                <w:rFonts w:hint="eastAsia" w:ascii="宋体" w:hAnsi="宋体" w:eastAsia="宋体" w:cs="宋体"/>
                <w:color w:val="auto"/>
                <w:sz w:val="24"/>
                <w:szCs w:val="24"/>
                <w:highlight w:val="none"/>
              </w:rPr>
              <w:t>扣1分。</w:t>
            </w:r>
          </w:p>
        </w:tc>
        <w:tc>
          <w:tcPr>
            <w:tcW w:w="12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643" w:hRule="exact"/>
        </w:trPr>
        <w:tc>
          <w:tcPr>
            <w:tcW w:w="6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单项</w:t>
            </w:r>
          </w:p>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考核</w:t>
            </w:r>
          </w:p>
        </w:tc>
        <w:tc>
          <w:tcPr>
            <w:tcW w:w="4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若因服</w:t>
            </w:r>
            <w:r>
              <w:rPr>
                <w:rFonts w:hint="eastAsia" w:ascii="宋体" w:hAnsi="宋体" w:eastAsia="宋体" w:cs="宋体"/>
                <w:color w:val="auto"/>
                <w:sz w:val="24"/>
                <w:szCs w:val="24"/>
                <w:highlight w:val="none"/>
              </w:rPr>
              <w:t>务</w:t>
            </w:r>
            <w:r>
              <w:rPr>
                <w:rFonts w:hint="eastAsia" w:ascii="宋体" w:hAnsi="宋体" w:eastAsia="宋体" w:cs="宋体"/>
                <w:color w:val="auto"/>
                <w:sz w:val="24"/>
                <w:szCs w:val="24"/>
                <w:highlight w:val="none"/>
                <w:lang w:val="en-US" w:eastAsia="zh-CN"/>
              </w:rPr>
              <w:t>问题产生</w:t>
            </w:r>
            <w:r>
              <w:rPr>
                <w:rFonts w:hint="eastAsia" w:ascii="宋体" w:hAnsi="宋体" w:eastAsia="宋体" w:cs="宋体"/>
                <w:color w:val="auto"/>
                <w:sz w:val="24"/>
                <w:szCs w:val="24"/>
                <w:highlight w:val="none"/>
              </w:rPr>
              <w:t>投诉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且经核实为有效投诉的</w:t>
            </w:r>
            <w:r>
              <w:rPr>
                <w:rFonts w:hint="eastAsia" w:ascii="宋体" w:hAnsi="宋体" w:eastAsia="宋体" w:cs="宋体"/>
                <w:color w:val="auto"/>
                <w:sz w:val="24"/>
                <w:szCs w:val="24"/>
                <w:highlight w:val="none"/>
              </w:rPr>
              <w:t>。</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每</w:t>
            </w:r>
            <w:r>
              <w:rPr>
                <w:rFonts w:hint="eastAsia" w:ascii="宋体" w:hAnsi="宋体" w:eastAsia="宋体" w:cs="宋体"/>
                <w:color w:val="auto"/>
                <w:sz w:val="24"/>
                <w:szCs w:val="24"/>
                <w:highlight w:val="none"/>
              </w:rPr>
              <w:t>次扣3分。</w:t>
            </w:r>
          </w:p>
        </w:tc>
        <w:tc>
          <w:tcPr>
            <w:tcW w:w="12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1412"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4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必须具备进行停车场管理运营及收费的资质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且办理相关许可证及备案手续，</w:t>
            </w:r>
            <w:r>
              <w:rPr>
                <w:rFonts w:hint="eastAsia" w:ascii="宋体" w:hAnsi="宋体" w:eastAsia="宋体" w:cs="宋体"/>
                <w:color w:val="auto"/>
                <w:sz w:val="24"/>
                <w:szCs w:val="24"/>
                <w:highlight w:val="none"/>
              </w:rPr>
              <w:t>按税收管理制度</w:t>
            </w:r>
            <w:r>
              <w:rPr>
                <w:rFonts w:hint="eastAsia" w:ascii="宋体" w:hAnsi="宋体" w:eastAsia="宋体" w:cs="宋体"/>
                <w:color w:val="auto"/>
                <w:sz w:val="24"/>
                <w:szCs w:val="24"/>
                <w:highlight w:val="none"/>
                <w:lang w:val="en-US" w:eastAsia="zh-CN"/>
              </w:rPr>
              <w:t>开具</w:t>
            </w:r>
            <w:r>
              <w:rPr>
                <w:rFonts w:hint="eastAsia" w:ascii="宋体" w:hAnsi="宋体" w:eastAsia="宋体" w:cs="宋体"/>
                <w:color w:val="auto"/>
                <w:sz w:val="24"/>
                <w:szCs w:val="24"/>
                <w:highlight w:val="none"/>
              </w:rPr>
              <w:t>发票。不得使用假票和涂改及与单位不相符的票</w:t>
            </w:r>
            <w:r>
              <w:rPr>
                <w:rFonts w:hint="eastAsia" w:ascii="宋体" w:hAnsi="宋体" w:eastAsia="宋体" w:cs="宋体"/>
                <w:color w:val="auto"/>
                <w:sz w:val="24"/>
                <w:szCs w:val="24"/>
                <w:highlight w:val="none"/>
                <w:lang w:val="en-US" w:eastAsia="zh-CN"/>
              </w:rPr>
              <w:t>证</w:t>
            </w:r>
            <w:r>
              <w:rPr>
                <w:rFonts w:hint="eastAsia" w:ascii="宋体" w:hAnsi="宋体" w:eastAsia="宋体" w:cs="宋体"/>
                <w:color w:val="auto"/>
                <w:sz w:val="24"/>
                <w:szCs w:val="24"/>
                <w:highlight w:val="none"/>
              </w:rPr>
              <w:t>，不得伪造有关证照和票据。</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发生</w:t>
            </w:r>
            <w:r>
              <w:rPr>
                <w:rFonts w:hint="eastAsia" w:ascii="宋体" w:hAnsi="宋体" w:eastAsia="宋体" w:cs="宋体"/>
                <w:color w:val="auto"/>
                <w:sz w:val="24"/>
                <w:szCs w:val="24"/>
                <w:highlight w:val="none"/>
              </w:rPr>
              <w:t>一次扣3分。</w:t>
            </w:r>
          </w:p>
        </w:tc>
        <w:tc>
          <w:tcPr>
            <w:tcW w:w="1221"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653"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481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因设备或管理原因</w:t>
            </w:r>
            <w:r>
              <w:rPr>
                <w:rFonts w:hint="eastAsia" w:ascii="宋体" w:hAnsi="宋体" w:eastAsia="宋体" w:cs="宋体"/>
                <w:color w:val="auto"/>
                <w:sz w:val="24"/>
                <w:szCs w:val="24"/>
                <w:highlight w:val="none"/>
              </w:rPr>
              <w:t>导致</w:t>
            </w:r>
            <w:r>
              <w:rPr>
                <w:rFonts w:hint="eastAsia" w:ascii="宋体" w:hAnsi="宋体" w:eastAsia="宋体" w:cs="宋体"/>
                <w:color w:val="auto"/>
                <w:sz w:val="24"/>
                <w:szCs w:val="24"/>
                <w:highlight w:val="none"/>
                <w:lang w:val="en-US" w:eastAsia="zh-CN"/>
              </w:rPr>
              <w:t>停放</w:t>
            </w:r>
            <w:r>
              <w:rPr>
                <w:rFonts w:hint="eastAsia" w:ascii="宋体" w:hAnsi="宋体" w:eastAsia="宋体" w:cs="宋体"/>
                <w:color w:val="auto"/>
                <w:sz w:val="24"/>
                <w:szCs w:val="24"/>
                <w:highlight w:val="none"/>
              </w:rPr>
              <w:t>车辆损坏</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5分钟内</w:t>
            </w:r>
            <w:r>
              <w:rPr>
                <w:rFonts w:hint="eastAsia" w:ascii="宋体" w:hAnsi="宋体" w:eastAsia="宋体" w:cs="宋体"/>
                <w:color w:val="auto"/>
                <w:sz w:val="24"/>
                <w:szCs w:val="24"/>
                <w:highlight w:val="none"/>
                <w:lang w:val="en-US" w:eastAsia="zh-CN"/>
              </w:rPr>
              <w:t>到场</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val="en-US" w:eastAsia="zh-CN"/>
              </w:rPr>
              <w:t>化</w:t>
            </w:r>
            <w:r>
              <w:rPr>
                <w:rFonts w:hint="eastAsia" w:ascii="宋体" w:hAnsi="宋体" w:eastAsia="宋体" w:cs="宋体"/>
                <w:color w:val="auto"/>
                <w:sz w:val="24"/>
                <w:szCs w:val="24"/>
                <w:highlight w:val="none"/>
              </w:rPr>
              <w:t>解。</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违反</w:t>
            </w:r>
            <w:r>
              <w:rPr>
                <w:rFonts w:hint="eastAsia" w:ascii="宋体" w:hAnsi="宋体" w:eastAsia="宋体" w:cs="宋体"/>
                <w:color w:val="auto"/>
                <w:sz w:val="24"/>
                <w:szCs w:val="24"/>
                <w:highlight w:val="none"/>
              </w:rPr>
              <w:t>一次1分。</w:t>
            </w:r>
          </w:p>
        </w:tc>
        <w:tc>
          <w:tcPr>
            <w:tcW w:w="1221"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rPr>
            </w:pPr>
          </w:p>
        </w:tc>
      </w:tr>
      <w:tr>
        <w:tblPrEx>
          <w:tblCellMar>
            <w:top w:w="0" w:type="dxa"/>
            <w:left w:w="10" w:type="dxa"/>
            <w:bottom w:w="0" w:type="dxa"/>
            <w:right w:w="10" w:type="dxa"/>
          </w:tblCellMar>
        </w:tblPrEx>
        <w:trPr>
          <w:trHeight w:val="1375" w:hRule="exact"/>
        </w:trPr>
        <w:tc>
          <w:tcPr>
            <w:tcW w:w="6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p>
        </w:tc>
        <w:tc>
          <w:tcPr>
            <w:tcW w:w="48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若有建</w:t>
            </w:r>
            <w:r>
              <w:rPr>
                <w:rFonts w:hint="eastAsia" w:ascii="宋体" w:hAnsi="宋体" w:eastAsia="宋体" w:cs="宋体"/>
                <w:color w:val="auto"/>
                <w:sz w:val="24"/>
                <w:szCs w:val="24"/>
                <w:highlight w:val="none"/>
              </w:rPr>
              <w:t>筑</w:t>
            </w:r>
            <w:r>
              <w:rPr>
                <w:rFonts w:hint="eastAsia" w:ascii="宋体" w:hAnsi="宋体" w:eastAsia="宋体" w:cs="宋体"/>
                <w:color w:val="auto"/>
                <w:sz w:val="24"/>
                <w:szCs w:val="24"/>
                <w:highlight w:val="none"/>
                <w:lang w:val="en-US" w:eastAsia="zh-CN"/>
              </w:rPr>
              <w:t>杂物</w:t>
            </w:r>
            <w:r>
              <w:rPr>
                <w:rFonts w:hint="eastAsia" w:ascii="宋体" w:hAnsi="宋体" w:eastAsia="宋体" w:cs="宋体"/>
                <w:color w:val="auto"/>
                <w:sz w:val="24"/>
                <w:szCs w:val="24"/>
                <w:highlight w:val="none"/>
              </w:rPr>
              <w:t>、乱摆卖摊</w:t>
            </w:r>
            <w:r>
              <w:rPr>
                <w:rFonts w:hint="eastAsia" w:ascii="宋体" w:hAnsi="宋体" w:eastAsia="宋体" w:cs="宋体"/>
                <w:color w:val="auto"/>
                <w:sz w:val="24"/>
                <w:szCs w:val="24"/>
                <w:highlight w:val="none"/>
                <w:lang w:val="en-US" w:eastAsia="zh-CN"/>
              </w:rPr>
              <w:t>档等占用</w:t>
            </w:r>
            <w:r>
              <w:rPr>
                <w:rFonts w:hint="eastAsia" w:ascii="宋体" w:hAnsi="宋体" w:eastAsia="宋体" w:cs="宋体"/>
                <w:color w:val="auto"/>
                <w:sz w:val="24"/>
                <w:szCs w:val="24"/>
                <w:highlight w:val="none"/>
              </w:rPr>
              <w:t>停车位、消防通道、行车通道</w:t>
            </w:r>
            <w:r>
              <w:rPr>
                <w:rFonts w:hint="eastAsia" w:ascii="宋体" w:hAnsi="宋体" w:eastAsia="宋体" w:cs="宋体"/>
                <w:color w:val="auto"/>
                <w:sz w:val="24"/>
                <w:szCs w:val="24"/>
                <w:highlight w:val="none"/>
                <w:lang w:val="en-US" w:eastAsia="zh-CN"/>
              </w:rPr>
              <w:t>等情况的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需5分钟内到场处理；</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3次以上</w:t>
            </w:r>
            <w:r>
              <w:rPr>
                <w:rFonts w:hint="eastAsia" w:ascii="宋体" w:hAnsi="宋体" w:eastAsia="宋体" w:cs="宋体"/>
                <w:color w:val="auto"/>
                <w:sz w:val="24"/>
                <w:szCs w:val="24"/>
                <w:highlight w:val="none"/>
              </w:rPr>
              <w:t>占用</w:t>
            </w:r>
            <w:r>
              <w:rPr>
                <w:rFonts w:hint="eastAsia" w:ascii="宋体" w:hAnsi="宋体" w:eastAsia="宋体" w:cs="宋体"/>
                <w:color w:val="auto"/>
                <w:sz w:val="24"/>
                <w:szCs w:val="24"/>
                <w:highlight w:val="none"/>
                <w:lang w:val="en-US" w:eastAsia="zh-CN"/>
              </w:rPr>
              <w:t>行车通道</w:t>
            </w:r>
            <w:r>
              <w:rPr>
                <w:rFonts w:hint="eastAsia" w:ascii="宋体" w:hAnsi="宋体" w:eastAsia="宋体" w:cs="宋体"/>
                <w:color w:val="auto"/>
                <w:sz w:val="24"/>
                <w:szCs w:val="24"/>
                <w:highlight w:val="none"/>
              </w:rPr>
              <w:t>、消防通道</w:t>
            </w:r>
            <w:r>
              <w:rPr>
                <w:rFonts w:hint="eastAsia" w:ascii="宋体" w:hAnsi="宋体" w:eastAsia="宋体" w:cs="宋体"/>
                <w:color w:val="auto"/>
                <w:sz w:val="24"/>
                <w:szCs w:val="24"/>
                <w:highlight w:val="none"/>
                <w:lang w:val="en-US" w:eastAsia="zh-CN"/>
              </w:rPr>
              <w:t>等的车辆</w:t>
            </w:r>
            <w:r>
              <w:rPr>
                <w:rFonts w:hint="eastAsia" w:ascii="宋体" w:hAnsi="宋体" w:eastAsia="宋体" w:cs="宋体"/>
                <w:color w:val="auto"/>
                <w:sz w:val="24"/>
                <w:szCs w:val="24"/>
                <w:highlight w:val="none"/>
              </w:rPr>
              <w:t>给予</w:t>
            </w:r>
            <w:r>
              <w:rPr>
                <w:rFonts w:hint="eastAsia" w:ascii="宋体" w:hAnsi="宋体" w:eastAsia="宋体" w:cs="宋体"/>
                <w:color w:val="auto"/>
                <w:sz w:val="24"/>
                <w:szCs w:val="24"/>
                <w:highlight w:val="none"/>
                <w:lang w:val="en-US" w:eastAsia="zh-CN"/>
              </w:rPr>
              <w:t>处理，</w:t>
            </w:r>
            <w:r>
              <w:rPr>
                <w:rFonts w:hint="eastAsia" w:ascii="宋体" w:hAnsi="宋体" w:eastAsia="宋体" w:cs="宋体"/>
                <w:color w:val="auto"/>
                <w:sz w:val="24"/>
                <w:szCs w:val="24"/>
                <w:highlight w:val="none"/>
              </w:rPr>
              <w:t>禁止</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rPr>
              <w:t>车辆进入村内。</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未按要求处理</w:t>
            </w:r>
            <w:r>
              <w:rPr>
                <w:rFonts w:hint="eastAsia" w:ascii="宋体" w:hAnsi="宋体" w:eastAsia="宋体" w:cs="宋体"/>
                <w:color w:val="auto"/>
                <w:sz w:val="24"/>
                <w:szCs w:val="24"/>
                <w:highlight w:val="none"/>
              </w:rPr>
              <w:t>一次</w:t>
            </w:r>
            <w:r>
              <w:rPr>
                <w:rFonts w:hint="eastAsia" w:ascii="宋体" w:hAnsi="宋体" w:eastAsia="宋体" w:cs="宋体"/>
                <w:color w:val="auto"/>
                <w:sz w:val="24"/>
                <w:szCs w:val="24"/>
                <w:highlight w:val="none"/>
                <w:lang w:val="en-US" w:eastAsia="zh-CN"/>
              </w:rPr>
              <w:t>扣</w:t>
            </w:r>
            <w:r>
              <w:rPr>
                <w:rFonts w:hint="eastAsia" w:ascii="宋体" w:hAnsi="宋体" w:eastAsia="宋体" w:cs="宋体"/>
                <w:color w:val="auto"/>
                <w:sz w:val="24"/>
                <w:szCs w:val="24"/>
                <w:highlight w:val="none"/>
              </w:rPr>
              <w:t>1分</w:t>
            </w:r>
          </w:p>
        </w:tc>
        <w:tc>
          <w:tcPr>
            <w:tcW w:w="1221" w:type="dxa"/>
            <w:vMerge w:val="continue"/>
            <w:tcBorders>
              <w:left w:val="single" w:color="auto" w:sz="4" w:space="0"/>
              <w:bottom w:val="single" w:color="auto" w:sz="4" w:space="0"/>
              <w:right w:val="single" w:color="auto" w:sz="4" w:space="0"/>
            </w:tcBorders>
            <w:shd w:val="clear" w:color="auto" w:fill="auto"/>
            <w:vAlign w:val="top"/>
          </w:tcPr>
          <w:p>
            <w:pPr>
              <w:widowControl w:val="0"/>
              <w:rPr>
                <w:rFonts w:hint="eastAsia" w:ascii="宋体" w:hAnsi="宋体" w:eastAsia="宋体" w:cs="宋体"/>
                <w:color w:val="auto"/>
                <w:sz w:val="24"/>
                <w:szCs w:val="24"/>
                <w:highlight w:val="none"/>
              </w:rPr>
            </w:pPr>
          </w:p>
        </w:tc>
      </w:tr>
    </w:tbl>
    <w:p>
      <w:pPr>
        <w:pStyle w:val="30"/>
        <w:numPr>
          <w:ilvl w:val="0"/>
          <w:numId w:val="0"/>
        </w:numPr>
        <w:spacing w:line="360" w:lineRule="auto"/>
        <w:ind w:left="415" w:leftChars="0" w:hanging="415" w:hangingChars="1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color w:val="auto"/>
          <w:sz w:val="24"/>
          <w:szCs w:val="24"/>
          <w:highlight w:val="none"/>
        </w:rPr>
        <w:t>每季度考核一次，考核总分为100分，具体考核制度</w:t>
      </w:r>
      <w:r>
        <w:rPr>
          <w:rFonts w:hint="eastAsia" w:ascii="宋体" w:hAnsi="宋体" w:eastAsia="宋体" w:cs="宋体"/>
          <w:color w:val="auto"/>
          <w:sz w:val="24"/>
          <w:szCs w:val="24"/>
          <w:highlight w:val="none"/>
          <w:lang w:val="en-US" w:eastAsia="zh-CN"/>
        </w:rPr>
        <w:t>和</w:t>
      </w:r>
      <w:r>
        <w:rPr>
          <w:rFonts w:hint="eastAsia" w:ascii="宋体" w:hAnsi="宋体" w:eastAsia="宋体" w:cs="宋体"/>
          <w:b/>
          <w:bCs/>
          <w:color w:val="auto"/>
          <w:sz w:val="24"/>
          <w:szCs w:val="24"/>
          <w:highlight w:val="none"/>
          <w:lang w:val="en-US" w:eastAsia="zh-CN"/>
        </w:rPr>
        <w:t>监管惩罚金额</w:t>
      </w:r>
      <w:r>
        <w:rPr>
          <w:rFonts w:hint="eastAsia" w:ascii="宋体" w:hAnsi="宋体" w:eastAsia="宋体" w:cs="宋体"/>
          <w:color w:val="auto"/>
          <w:sz w:val="24"/>
          <w:szCs w:val="24"/>
          <w:highlight w:val="none"/>
        </w:rPr>
        <w:t>如下:</w:t>
      </w:r>
    </w:p>
    <w:p>
      <w:pPr>
        <w:pStyle w:val="30"/>
        <w:numPr>
          <w:ilvl w:val="0"/>
          <w:numId w:val="35"/>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若合同签订之日起半年内出现一次考核得分低于80分的为不达标，</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可以单方解除本合同，并</w:t>
      </w:r>
      <w:r>
        <w:rPr>
          <w:rFonts w:hint="eastAsia" w:ascii="宋体" w:hAnsi="宋体" w:cs="宋体"/>
          <w:color w:val="auto"/>
          <w:sz w:val="24"/>
          <w:szCs w:val="24"/>
          <w:highlight w:val="none"/>
          <w:lang w:eastAsia="zh-CN"/>
        </w:rPr>
        <w:t>不予退还乙方履约保证金</w:t>
      </w:r>
      <w:r>
        <w:rPr>
          <w:rFonts w:hint="eastAsia" w:ascii="宋体" w:hAnsi="宋体" w:eastAsia="宋体" w:cs="宋体"/>
          <w:color w:val="auto"/>
          <w:sz w:val="24"/>
          <w:szCs w:val="24"/>
          <w:highlight w:val="none"/>
        </w:rPr>
        <w:t>和不退回已交的服务费，且</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投入建设安装的一切设施设备无偿归</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所有。</w:t>
      </w:r>
    </w:p>
    <w:p>
      <w:pPr>
        <w:pStyle w:val="30"/>
        <w:numPr>
          <w:ilvl w:val="0"/>
          <w:numId w:val="35"/>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若当年有2个或以上季度考核得分低于80分，</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可以单方解除本合同，并</w:t>
      </w:r>
      <w:r>
        <w:rPr>
          <w:rFonts w:hint="eastAsia" w:ascii="宋体" w:hAnsi="宋体" w:eastAsia="宋体" w:cs="宋体"/>
          <w:color w:val="auto"/>
          <w:sz w:val="24"/>
          <w:szCs w:val="24"/>
          <w:highlight w:val="none"/>
          <w:lang w:eastAsia="zh-CN"/>
        </w:rPr>
        <w:t>不予退还</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lang w:eastAsia="zh-CN"/>
        </w:rPr>
        <w:t>履约保证金</w:t>
      </w:r>
      <w:r>
        <w:rPr>
          <w:rFonts w:hint="eastAsia" w:ascii="宋体" w:hAnsi="宋体" w:eastAsia="宋体" w:cs="宋体"/>
          <w:color w:val="auto"/>
          <w:sz w:val="24"/>
          <w:szCs w:val="24"/>
          <w:highlight w:val="none"/>
        </w:rPr>
        <w:t>和不退回已交的服务费，且</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投入建设安装的一切设施设备无偿归</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所有。</w:t>
      </w:r>
    </w:p>
    <w:p>
      <w:pPr>
        <w:pStyle w:val="30"/>
        <w:numPr>
          <w:ilvl w:val="0"/>
          <w:numId w:val="35"/>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有权监督</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依据双方约定事项进行日常管理：若因服务问题工作人员工作不积极而导致管理不善致道路因乱停放的现象多，产生堵塞而被村民投诉或拍照影相不符合停车要求的，且经由村干部核实为有效投诉的，将由</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进行金额惩罚，惩罚金额200元或以上最终解释权归</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w:t>
      </w:r>
    </w:p>
    <w:p>
      <w:pPr>
        <w:pStyle w:val="30"/>
        <w:numPr>
          <w:ilvl w:val="0"/>
          <w:numId w:val="35"/>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可对</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进行约谈，要求加强巡查整改，如因</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工作人员态度不好导致处事不公而引发纠纷案或投诉案多的，</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有权要求</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在限期内整改并更换人员，如</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限期拒不整改的，视为</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根本违约，</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有权单方面解除合同，</w:t>
      </w:r>
      <w:r>
        <w:rPr>
          <w:rFonts w:hint="eastAsia" w:ascii="宋体" w:hAnsi="宋体" w:eastAsia="宋体" w:cs="宋体"/>
          <w:color w:val="auto"/>
          <w:sz w:val="24"/>
          <w:szCs w:val="24"/>
          <w:highlight w:val="none"/>
          <w:lang w:eastAsia="zh-CN"/>
        </w:rPr>
        <w:t>不予退还</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lang w:eastAsia="zh-CN"/>
        </w:rPr>
        <w:t>履约保证金</w:t>
      </w:r>
      <w:r>
        <w:rPr>
          <w:rFonts w:hint="eastAsia" w:ascii="宋体" w:hAnsi="宋体" w:eastAsia="宋体" w:cs="宋体"/>
          <w:color w:val="auto"/>
          <w:sz w:val="24"/>
          <w:szCs w:val="24"/>
          <w:highlight w:val="none"/>
        </w:rPr>
        <w:t>和不退回已交的服务费，</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投入建设安装的一切设施设备无偿归</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所有。</w:t>
      </w:r>
    </w:p>
    <w:p>
      <w:pPr>
        <w:pStyle w:val="30"/>
        <w:numPr>
          <w:ilvl w:val="0"/>
          <w:numId w:val="35"/>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有权监督</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依据双方约定事项进行日常管理。</w:t>
      </w:r>
    </w:p>
    <w:p>
      <w:pPr>
        <w:pStyle w:val="35"/>
        <w:numPr>
          <w:ilvl w:val="0"/>
          <w:numId w:val="31"/>
        </w:numPr>
        <w:spacing w:before="240" w:beforeLines="100" w:after="120" w:afterLines="50" w:line="360" w:lineRule="auto"/>
        <w:rPr>
          <w:b/>
          <w:bCs/>
          <w:color w:val="auto"/>
          <w:sz w:val="24"/>
          <w:szCs w:val="24"/>
          <w:highlight w:val="none"/>
        </w:rPr>
      </w:pPr>
      <w:r>
        <w:rPr>
          <w:b/>
          <w:bCs/>
          <w:color w:val="auto"/>
          <w:sz w:val="24"/>
          <w:szCs w:val="24"/>
          <w:highlight w:val="none"/>
        </w:rPr>
        <w:t>关键合同条款一览表</w:t>
      </w:r>
    </w:p>
    <w:tbl>
      <w:tblPr>
        <w:tblStyle w:val="19"/>
        <w:tblW w:w="8322"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21"/>
        <w:gridCol w:w="1776"/>
        <w:gridCol w:w="582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tcBorders>
              <w:top w:val="outset" w:color="auto" w:sz="6" w:space="0"/>
              <w:left w:val="outset" w:color="auto" w:sz="6" w:space="0"/>
              <w:bottom w:val="outset" w:color="auto" w:sz="6" w:space="0"/>
              <w:right w:val="outset" w:color="auto" w:sz="6" w:space="0"/>
            </w:tcBorders>
            <w:noWrap w:val="0"/>
            <w:vAlign w:val="center"/>
          </w:tcPr>
          <w:p>
            <w:pPr>
              <w:jc w:val="center"/>
              <w:rPr>
                <w:color w:val="auto"/>
                <w:sz w:val="24"/>
                <w:szCs w:val="24"/>
                <w:highlight w:val="none"/>
              </w:rPr>
            </w:pPr>
            <w:r>
              <w:rPr>
                <w:rFonts w:ascii="宋体" w:hAnsi="宋体" w:cs="宋体"/>
                <w:color w:val="auto"/>
                <w:sz w:val="24"/>
                <w:szCs w:val="24"/>
                <w:highlight w:val="none"/>
              </w:rPr>
              <w:t>序号</w:t>
            </w:r>
          </w:p>
        </w:tc>
        <w:tc>
          <w:tcPr>
            <w:tcW w:w="1776" w:type="dxa"/>
            <w:tcBorders>
              <w:top w:val="outset" w:color="auto" w:sz="6" w:space="0"/>
              <w:left w:val="outset" w:color="auto" w:sz="6" w:space="0"/>
              <w:bottom w:val="outset" w:color="auto" w:sz="6" w:space="0"/>
              <w:right w:val="outset" w:color="auto" w:sz="6" w:space="0"/>
            </w:tcBorders>
            <w:noWrap w:val="0"/>
            <w:vAlign w:val="center"/>
          </w:tcPr>
          <w:p>
            <w:pPr>
              <w:jc w:val="center"/>
              <w:rPr>
                <w:color w:val="auto"/>
                <w:sz w:val="24"/>
                <w:szCs w:val="24"/>
                <w:highlight w:val="none"/>
              </w:rPr>
            </w:pPr>
            <w:r>
              <w:rPr>
                <w:rFonts w:ascii="宋体" w:hAnsi="宋体" w:cs="宋体"/>
                <w:color w:val="auto"/>
                <w:sz w:val="24"/>
                <w:szCs w:val="24"/>
                <w:highlight w:val="none"/>
              </w:rPr>
              <w:t>商务条款</w:t>
            </w:r>
          </w:p>
        </w:tc>
        <w:tc>
          <w:tcPr>
            <w:tcW w:w="5825" w:type="dxa"/>
            <w:tcBorders>
              <w:top w:val="outset" w:color="auto" w:sz="6" w:space="0"/>
              <w:left w:val="outset" w:color="auto" w:sz="6" w:space="0"/>
              <w:bottom w:val="outset" w:color="auto" w:sz="6" w:space="0"/>
              <w:right w:val="outset" w:color="auto" w:sz="6" w:space="0"/>
            </w:tcBorders>
            <w:noWrap w:val="0"/>
            <w:vAlign w:val="center"/>
          </w:tcPr>
          <w:p>
            <w:pPr>
              <w:jc w:val="center"/>
              <w:rPr>
                <w:color w:val="auto"/>
                <w:sz w:val="24"/>
                <w:szCs w:val="24"/>
                <w:highlight w:val="none"/>
              </w:rPr>
            </w:pPr>
            <w:r>
              <w:rPr>
                <w:rFonts w:ascii="宋体" w:hAnsi="宋体" w:cs="宋体"/>
                <w:color w:val="auto"/>
                <w:sz w:val="24"/>
                <w:szCs w:val="24"/>
                <w:highlight w:val="none"/>
              </w:rPr>
              <w:t>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18" w:hRule="atLeast"/>
        </w:trPr>
        <w:tc>
          <w:tcPr>
            <w:tcW w:w="721" w:type="dxa"/>
            <w:tcBorders>
              <w:top w:val="outset" w:color="auto" w:sz="6" w:space="0"/>
              <w:left w:val="outset" w:color="auto" w:sz="6" w:space="0"/>
              <w:right w:val="outset" w:color="auto" w:sz="6"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76" w:type="dxa"/>
            <w:tcBorders>
              <w:top w:val="outset" w:color="auto" w:sz="6" w:space="0"/>
              <w:left w:val="outset" w:color="auto" w:sz="6" w:space="0"/>
              <w:right w:val="outset" w:color="auto" w:sz="6"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合同金额（不含税，税费由乙方另行承担</w:t>
            </w:r>
            <w:r>
              <w:rPr>
                <w:rFonts w:hint="eastAsia" w:ascii="宋体" w:hAnsi="宋体" w:cs="宋体"/>
                <w:color w:val="auto"/>
                <w:sz w:val="24"/>
                <w:szCs w:val="24"/>
                <w:highlight w:val="none"/>
                <w:lang w:eastAsia="zh-CN"/>
              </w:rPr>
              <w:t>）</w:t>
            </w:r>
          </w:p>
        </w:tc>
        <w:tc>
          <w:tcPr>
            <w:tcW w:w="5825"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年度管理费金额：</w:t>
            </w:r>
            <w:r>
              <w:rPr>
                <w:rFonts w:hint="eastAsia" w:ascii="宋体" w:hAnsi="宋体" w:eastAsia="宋体" w:cs="宋体"/>
                <w:color w:val="auto"/>
                <w:sz w:val="24"/>
                <w:szCs w:val="24"/>
                <w:highlight w:val="none"/>
              </w:rPr>
              <w:t>小写：</w:t>
            </w:r>
            <w:r>
              <w:rPr>
                <w:rFonts w:hint="eastAsia" w:ascii="宋体" w:hAnsi="宋体" w:cs="宋体"/>
                <w:color w:val="auto"/>
                <w:sz w:val="24"/>
                <w:szCs w:val="24"/>
                <w:highlight w:val="none"/>
                <w:lang w:eastAsia="zh-CN"/>
              </w:rPr>
              <w:t>；大写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122" w:hRule="atLeast"/>
        </w:trPr>
        <w:tc>
          <w:tcPr>
            <w:tcW w:w="72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1776"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合同金额内容</w:t>
            </w:r>
          </w:p>
        </w:tc>
        <w:tc>
          <w:tcPr>
            <w:tcW w:w="5825"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leftChars="0"/>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w:t>
            </w:r>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支付给</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费用。包括但不限于以下各项的支出费用由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另外自行承担：（1）工人工资、福利：人工费、劳工意外保险、工伤、医疗、</w:t>
            </w:r>
            <w:r>
              <w:rPr>
                <w:rFonts w:hint="eastAsia" w:asciiTheme="minorEastAsia" w:hAnsiTheme="minorEastAsia" w:eastAsiaTheme="minorEastAsia" w:cstheme="minorEastAsia"/>
                <w:color w:val="auto"/>
                <w:sz w:val="24"/>
                <w:szCs w:val="24"/>
                <w:highlight w:val="none"/>
                <w:lang w:eastAsia="zh-CN"/>
              </w:rPr>
              <w:t>失业</w:t>
            </w:r>
            <w:r>
              <w:rPr>
                <w:rFonts w:hint="eastAsia" w:asciiTheme="minorEastAsia" w:hAnsiTheme="minorEastAsia" w:eastAsiaTheme="minorEastAsia" w:cstheme="minorEastAsia"/>
                <w:color w:val="auto"/>
                <w:sz w:val="24"/>
                <w:szCs w:val="24"/>
                <w:highlight w:val="none"/>
              </w:rPr>
              <w:t>、养老保险、其他福利待遇、特殊人员体检费；（2）劳保用品、服装费：一切劳保用品、服装费用；（3）培训费：全体人员一切专业培训、办证费用；（4）员工的住宿及住宿费用；（5）项目运营、停车管理、软硬件投资建设和维护及服务等所发生的一切费用；（6）提供停车费全额含税发票；（7）合同实施过程中的应预见和不可预见费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8" w:hRule="atLeast"/>
        </w:trPr>
        <w:tc>
          <w:tcPr>
            <w:tcW w:w="72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7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c>
          <w:tcPr>
            <w:tcW w:w="582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ind w:left="21" w:leftChars="10" w:right="21" w:rightChars="10" w:firstLine="0" w:firstLineChars="0"/>
              <w:jc w:val="left"/>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5年，</w:t>
            </w:r>
            <w:r>
              <w:rPr>
                <w:rFonts w:hint="eastAsia" w:asciiTheme="minorEastAsia" w:hAnsiTheme="minorEastAsia" w:eastAsiaTheme="minorEastAsia" w:cstheme="minorEastAsia"/>
                <w:color w:val="auto"/>
                <w:sz w:val="24"/>
                <w:szCs w:val="24"/>
                <w:highlight w:val="none"/>
              </w:rPr>
              <w:t>合同期限</w:t>
            </w: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日至</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日止</w:t>
            </w:r>
            <w:r>
              <w:rPr>
                <w:rFonts w:hint="eastAsia" w:asciiTheme="minorEastAsia" w:hAnsiTheme="minorEastAsia" w:eastAsiaTheme="minorEastAsia" w:cstheme="minorEastAsia"/>
                <w:color w:val="auto"/>
                <w:sz w:val="24"/>
                <w:szCs w:val="24"/>
                <w:highlight w:val="none"/>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7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停车费收取方式</w:t>
            </w:r>
          </w:p>
        </w:tc>
        <w:tc>
          <w:tcPr>
            <w:tcW w:w="582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21" w:leftChars="10" w:right="21" w:rightChars="10"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按照本合同制定的车辆管理费收费标准，对进入甲方辖区内停放的外来车辆收取车辆管理维护</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费。</w:t>
            </w:r>
          </w:p>
          <w:p>
            <w:pPr>
              <w:keepNext w:val="0"/>
              <w:keepLines w:val="0"/>
              <w:pageBreakBefore w:val="0"/>
              <w:widowControl w:val="0"/>
              <w:numPr>
                <w:ilvl w:val="0"/>
                <w:numId w:val="0"/>
              </w:numPr>
              <w:kinsoku/>
              <w:wordWrap/>
              <w:overflowPunct/>
              <w:topLinePunct w:val="0"/>
              <w:autoSpaceDE/>
              <w:autoSpaceDN/>
              <w:bidi w:val="0"/>
              <w:adjustRightInd/>
              <w:snapToGrid/>
              <w:ind w:left="21" w:leftChars="10" w:right="21" w:rightChars="10" w:firstLine="0" w:firstLine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在合同期内按季度向</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支付</w:t>
            </w:r>
            <w:r>
              <w:rPr>
                <w:rFonts w:hint="eastAsia" w:asciiTheme="minorEastAsia" w:hAnsiTheme="minorEastAsia" w:eastAsiaTheme="minorEastAsia" w:cstheme="minorEastAsia"/>
                <w:color w:val="auto"/>
                <w:sz w:val="24"/>
                <w:szCs w:val="24"/>
                <w:highlight w:val="none"/>
                <w:lang w:eastAsia="zh-CN"/>
              </w:rPr>
              <w:t>车辆停放管理服务维护费</w:t>
            </w:r>
            <w:r>
              <w:rPr>
                <w:rFonts w:hint="eastAsia" w:asciiTheme="minorEastAsia" w:hAnsiTheme="minorEastAsia" w:eastAsiaTheme="minorEastAsia" w:cstheme="minorEastAsia"/>
                <w:color w:val="auto"/>
                <w:sz w:val="24"/>
                <w:szCs w:val="24"/>
                <w:highlight w:val="none"/>
              </w:rPr>
              <w:t>：</w:t>
            </w:r>
          </w:p>
          <w:p>
            <w:pPr>
              <w:numPr>
                <w:ilvl w:val="0"/>
                <w:numId w:val="36"/>
              </w:numPr>
              <w:ind w:left="415" w:leftChars="0" w:hanging="415" w:hangingChars="173"/>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按季度支付管理车辆维护服务费，</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须在合同签订之日起5天内向</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支付</w:t>
            </w:r>
            <w:r>
              <w:rPr>
                <w:rFonts w:hint="eastAsia" w:ascii="宋体" w:hAnsi="宋体" w:eastAsia="宋体" w:cs="宋体"/>
                <w:color w:val="auto"/>
                <w:sz w:val="24"/>
                <w:szCs w:val="24"/>
                <w:highlight w:val="none"/>
              </w:rPr>
              <w:t>管理车辆维护服务费</w:t>
            </w:r>
            <w:r>
              <w:rPr>
                <w:rFonts w:hint="eastAsia" w:asciiTheme="minorEastAsia" w:hAnsiTheme="minorEastAsia" w:eastAsiaTheme="minorEastAsia" w:cstheme="minorEastAsia"/>
                <w:color w:val="auto"/>
                <w:sz w:val="24"/>
                <w:szCs w:val="24"/>
                <w:highlight w:val="none"/>
              </w:rPr>
              <w:t>；</w:t>
            </w:r>
          </w:p>
          <w:p>
            <w:pPr>
              <w:numPr>
                <w:ilvl w:val="0"/>
                <w:numId w:val="36"/>
              </w:numPr>
              <w:ind w:left="415" w:leftChars="0" w:hanging="415" w:hangingChars="173"/>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按先支付后管理使用原则，逾期15日未付清的视作根本性违约，</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有权单方解除本合同，</w:t>
            </w:r>
            <w:r>
              <w:rPr>
                <w:rFonts w:hint="eastAsia" w:ascii="宋体" w:hAnsi="宋体" w:cs="宋体"/>
                <w:color w:val="auto"/>
                <w:sz w:val="24"/>
                <w:szCs w:val="24"/>
                <w:highlight w:val="none"/>
                <w:lang w:eastAsia="zh-CN"/>
              </w:rPr>
              <w:t>不予退还乙方履约全部履约</w:t>
            </w:r>
            <w:r>
              <w:rPr>
                <w:rFonts w:hint="eastAsia" w:ascii="宋体" w:hAnsi="宋体" w:eastAsia="宋体" w:cs="宋体"/>
                <w:color w:val="auto"/>
                <w:sz w:val="24"/>
                <w:szCs w:val="24"/>
                <w:highlight w:val="none"/>
              </w:rPr>
              <w:t>保证金</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投入建设安装的一切设施设备无偿归甲方所有。</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在收取服务费时只提供</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开具的收据，如需要开具发票，所产生的税费由</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承担。</w:t>
            </w:r>
          </w:p>
          <w:p>
            <w:pPr>
              <w:numPr>
                <w:ilvl w:val="0"/>
                <w:numId w:val="36"/>
              </w:numPr>
              <w:ind w:left="415" w:leftChars="0" w:hanging="415" w:hangingChars="173"/>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如租户需要开具发票以及所产生的税费也由</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承担。</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7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合同履约保证金</w:t>
            </w:r>
          </w:p>
        </w:tc>
        <w:tc>
          <w:tcPr>
            <w:tcW w:w="582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21" w:leftChars="10" w:right="21" w:rightChars="10" w:firstLine="480" w:firstLineChars="200"/>
              <w:jc w:val="left"/>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履约保证金为</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万元。</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中标通知书</w:t>
            </w:r>
            <w:r>
              <w:rPr>
                <w:rFonts w:hint="eastAsia" w:asciiTheme="minorEastAsia" w:hAnsiTheme="minorEastAsia" w:eastAsiaTheme="minorEastAsia" w:cstheme="minorEastAsia"/>
                <w:color w:val="auto"/>
                <w:sz w:val="24"/>
                <w:szCs w:val="24"/>
                <w:highlight w:val="none"/>
              </w:rPr>
              <w:t>发出3个工作日内，应以银行转账的方式向</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交纳履约保证金。如</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无违约行为的，服务期结束后30日内，</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将履约保证金全额无息退还给</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不按要求提交履约保证金的，</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有权解除合同，取消</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的成交资格，</w:t>
            </w:r>
            <w:r>
              <w:rPr>
                <w:rFonts w:hint="eastAsia" w:asciiTheme="minorEastAsia" w:hAnsiTheme="minorEastAsia" w:eastAsiaTheme="minorEastAsia" w:cstheme="minorEastAsia"/>
                <w:color w:val="auto"/>
                <w:sz w:val="24"/>
                <w:szCs w:val="24"/>
                <w:highlight w:val="none"/>
                <w:lang w:eastAsia="zh-CN"/>
              </w:rPr>
              <w:t>竞投保证金</w:t>
            </w:r>
            <w:r>
              <w:rPr>
                <w:rFonts w:hint="eastAsia" w:asciiTheme="minorEastAsia" w:hAnsiTheme="minorEastAsia" w:eastAsiaTheme="minorEastAsia" w:cstheme="minorEastAsia"/>
                <w:color w:val="auto"/>
                <w:sz w:val="24"/>
                <w:szCs w:val="24"/>
                <w:highlight w:val="none"/>
              </w:rPr>
              <w:t>不予退还。</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2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7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5825" w:type="dxa"/>
            <w:tcBorders>
              <w:top w:val="outset" w:color="auto" w:sz="6" w:space="0"/>
              <w:left w:val="outset" w:color="auto" w:sz="6" w:space="0"/>
              <w:bottom w:val="outset" w:color="auto" w:sz="6" w:space="0"/>
              <w:right w:val="outset" w:color="auto" w:sz="6" w:space="0"/>
            </w:tcBorders>
            <w:noWrap w:val="0"/>
            <w:vAlign w:val="center"/>
          </w:tcPr>
          <w:p>
            <w:pPr>
              <w:numPr>
                <w:ilvl w:val="0"/>
                <w:numId w:val="0"/>
              </w:numPr>
              <w:ind w:leftChars="0" w:firstLine="480" w:firstLineChars="200"/>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合同期结束或由于其他原因导致合同终止安装的设施设备归</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所有，合同结束设施设备交付给</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时设施设备必须保证完整，状态完好，能正常使用，否则保证金不作退回。</w:t>
            </w:r>
          </w:p>
        </w:tc>
      </w:tr>
    </w:tbl>
    <w:p>
      <w:pPr>
        <w:pStyle w:val="35"/>
        <w:numPr>
          <w:ilvl w:val="0"/>
          <w:numId w:val="31"/>
        </w:numPr>
        <w:spacing w:before="240" w:beforeLines="100" w:after="120" w:afterLines="50" w:line="360" w:lineRule="auto"/>
        <w:rPr>
          <w:b/>
          <w:color w:val="auto"/>
          <w:sz w:val="24"/>
          <w:szCs w:val="24"/>
          <w:highlight w:val="none"/>
        </w:rPr>
      </w:pPr>
      <w:r>
        <w:rPr>
          <w:rFonts w:hint="eastAsia"/>
          <w:b/>
          <w:color w:val="auto"/>
          <w:sz w:val="24"/>
          <w:szCs w:val="24"/>
          <w:highlight w:val="none"/>
          <w:lang w:eastAsia="zh-CN"/>
        </w:rPr>
        <w:t>本项目</w:t>
      </w:r>
      <w:r>
        <w:rPr>
          <w:rFonts w:hint="eastAsia"/>
          <w:b/>
          <w:color w:val="auto"/>
          <w:sz w:val="24"/>
          <w:szCs w:val="24"/>
          <w:highlight w:val="none"/>
        </w:rPr>
        <w:t>验收要求</w:t>
      </w:r>
    </w:p>
    <w:p>
      <w:pPr>
        <w:pStyle w:val="35"/>
        <w:numPr>
          <w:ilvl w:val="1"/>
          <w:numId w:val="31"/>
        </w:numPr>
        <w:spacing w:before="240" w:beforeLines="100" w:after="120" w:afterLines="50" w:line="360" w:lineRule="auto"/>
        <w:ind w:left="624" w:leftChars="0" w:hanging="624" w:firstLineChars="0"/>
        <w:rPr>
          <w:color w:val="auto"/>
          <w:sz w:val="24"/>
          <w:szCs w:val="24"/>
          <w:highlight w:val="none"/>
        </w:rPr>
      </w:pPr>
      <w:r>
        <w:rPr>
          <w:rFonts w:hint="eastAsia"/>
          <w:color w:val="auto"/>
          <w:sz w:val="24"/>
          <w:szCs w:val="24"/>
          <w:highlight w:val="none"/>
        </w:rPr>
        <w:t>乙方须为验收提供必需的一切条件及相关费用。</w:t>
      </w:r>
    </w:p>
    <w:p>
      <w:pPr>
        <w:pStyle w:val="35"/>
        <w:numPr>
          <w:ilvl w:val="0"/>
          <w:numId w:val="31"/>
        </w:numPr>
        <w:spacing w:before="240" w:beforeLines="100" w:after="120" w:afterLines="50" w:line="360" w:lineRule="auto"/>
        <w:rPr>
          <w:rFonts w:hint="eastAsia"/>
          <w:b/>
          <w:color w:val="auto"/>
          <w:sz w:val="24"/>
          <w:szCs w:val="24"/>
          <w:highlight w:val="none"/>
        </w:rPr>
      </w:pPr>
      <w:r>
        <w:rPr>
          <w:rFonts w:hint="eastAsia"/>
          <w:b/>
          <w:color w:val="auto"/>
          <w:sz w:val="24"/>
          <w:szCs w:val="24"/>
          <w:highlight w:val="none"/>
        </w:rPr>
        <w:t>项目验收依次序对照执行标准</w:t>
      </w:r>
    </w:p>
    <w:p>
      <w:pPr>
        <w:pStyle w:val="30"/>
        <w:numPr>
          <w:ilvl w:val="0"/>
          <w:numId w:val="37"/>
        </w:numPr>
        <w:spacing w:line="360" w:lineRule="auto"/>
        <w:ind w:left="0" w:leftChars="0" w:firstLine="420" w:firstLineChars="0"/>
        <w:rPr>
          <w:rFonts w:hint="eastAsia"/>
          <w:color w:val="auto"/>
          <w:sz w:val="24"/>
          <w:szCs w:val="24"/>
          <w:highlight w:val="none"/>
        </w:rPr>
      </w:pPr>
      <w:r>
        <w:rPr>
          <w:rFonts w:hint="eastAsia"/>
          <w:color w:val="auto"/>
          <w:sz w:val="24"/>
          <w:szCs w:val="24"/>
          <w:highlight w:val="none"/>
        </w:rPr>
        <w:t>符合中华人民共和国国家和履约地相关安全质量标准、行业技术规范标准、环保</w:t>
      </w:r>
      <w:r>
        <w:rPr>
          <w:rFonts w:hint="eastAsia" w:ascii="Times New Roman" w:hAnsi="Times New Roman" w:eastAsia="宋体" w:cs="Times New Roman"/>
          <w:color w:val="auto"/>
          <w:sz w:val="24"/>
          <w:szCs w:val="24"/>
          <w:highlight w:val="none"/>
        </w:rPr>
        <w:t>节能</w:t>
      </w:r>
      <w:r>
        <w:rPr>
          <w:rFonts w:hint="eastAsia"/>
          <w:color w:val="auto"/>
          <w:sz w:val="24"/>
          <w:szCs w:val="24"/>
          <w:highlight w:val="none"/>
        </w:rPr>
        <w:t>标准；</w:t>
      </w:r>
    </w:p>
    <w:p>
      <w:pPr>
        <w:pStyle w:val="30"/>
        <w:numPr>
          <w:ilvl w:val="0"/>
          <w:numId w:val="37"/>
        </w:numPr>
        <w:spacing w:line="360" w:lineRule="auto"/>
        <w:ind w:left="0" w:leftChars="0" w:firstLine="420" w:firstLineChars="0"/>
        <w:rPr>
          <w:rFonts w:hint="eastAsia"/>
          <w:color w:val="auto"/>
          <w:sz w:val="24"/>
          <w:szCs w:val="24"/>
          <w:highlight w:val="none"/>
        </w:rPr>
      </w:pPr>
      <w:r>
        <w:rPr>
          <w:rFonts w:hint="eastAsia"/>
          <w:color w:val="auto"/>
          <w:sz w:val="24"/>
          <w:szCs w:val="24"/>
          <w:highlight w:val="none"/>
        </w:rPr>
        <w:t>符合采购文件和响应承诺中各方共同认可的各项要求；</w:t>
      </w:r>
    </w:p>
    <w:p>
      <w:pPr>
        <w:pStyle w:val="30"/>
        <w:numPr>
          <w:ilvl w:val="0"/>
          <w:numId w:val="37"/>
        </w:numPr>
        <w:spacing w:line="360" w:lineRule="auto"/>
        <w:ind w:left="0" w:leftChars="0" w:firstLine="420" w:firstLineChars="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上述各类标准与法规必须是有关官方机构最新发布的现行标准版本。</w:t>
      </w:r>
    </w:p>
    <w:p>
      <w:pPr>
        <w:pStyle w:val="35"/>
        <w:numPr>
          <w:ilvl w:val="0"/>
          <w:numId w:val="31"/>
        </w:numPr>
        <w:spacing w:before="240" w:beforeLines="100" w:after="120" w:afterLines="50" w:line="360" w:lineRule="auto"/>
        <w:rPr>
          <w:rFonts w:hint="eastAsia"/>
          <w:b/>
          <w:color w:val="auto"/>
          <w:sz w:val="24"/>
          <w:szCs w:val="24"/>
          <w:highlight w:val="none"/>
        </w:rPr>
      </w:pPr>
      <w:r>
        <w:rPr>
          <w:rFonts w:hint="eastAsia"/>
          <w:b/>
          <w:color w:val="auto"/>
          <w:sz w:val="24"/>
          <w:szCs w:val="24"/>
          <w:highlight w:val="none"/>
        </w:rPr>
        <w:t>甲方的权利和义务</w:t>
      </w:r>
    </w:p>
    <w:p>
      <w:pPr>
        <w:pStyle w:val="30"/>
        <w:numPr>
          <w:ilvl w:val="0"/>
          <w:numId w:val="38"/>
        </w:numPr>
        <w:spacing w:line="360" w:lineRule="auto"/>
        <w:ind w:left="0" w:leftChars="0" w:firstLine="42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甲方有权向乙方提出采购项目服务的意见和建议。</w:t>
      </w:r>
    </w:p>
    <w:p>
      <w:pPr>
        <w:pStyle w:val="30"/>
        <w:numPr>
          <w:ilvl w:val="0"/>
          <w:numId w:val="38"/>
        </w:numPr>
        <w:spacing w:line="360" w:lineRule="auto"/>
        <w:ind w:left="0" w:leftChars="0" w:firstLine="42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甲方有义务配合乙方做好各项日常管理工作，乙方应根据甲方建议制定有关管理制度和措施执行。甲方有权对乙方的管理方案进行检查及合理修改，共同优化管理工作。</w:t>
      </w:r>
    </w:p>
    <w:p>
      <w:pPr>
        <w:pStyle w:val="30"/>
        <w:numPr>
          <w:ilvl w:val="0"/>
          <w:numId w:val="38"/>
        </w:numPr>
        <w:spacing w:line="360" w:lineRule="auto"/>
        <w:ind w:left="0" w:leftChars="0" w:firstLine="42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甲方有权对乙方的日常管理工作进行监管检查，每季度进行一次全面考核评定，如乙方因管理不善或管理失误，给甲方造成严重负面影响或导致经济受损的，甲方有权单方面终止合同，并视乙方根本违约处理（不予退还</w:t>
      </w:r>
      <w:r>
        <w:rPr>
          <w:rFonts w:hint="eastAsia" w:ascii="Times New Roman" w:hAnsi="Times New Roman" w:eastAsia="宋体" w:cs="Times New Roman"/>
          <w:color w:val="auto"/>
          <w:sz w:val="24"/>
          <w:szCs w:val="24"/>
          <w:highlight w:val="none"/>
        </w:rPr>
        <w:t>乙方</w:t>
      </w:r>
      <w:r>
        <w:rPr>
          <w:rFonts w:hint="eastAsia" w:ascii="Times New Roman" w:hAnsi="Times New Roman" w:eastAsia="宋体" w:cs="Times New Roman"/>
          <w:color w:val="auto"/>
          <w:sz w:val="24"/>
          <w:szCs w:val="24"/>
          <w:highlight w:val="none"/>
          <w:lang w:eastAsia="zh-CN"/>
        </w:rPr>
        <w:t>履约</w:t>
      </w:r>
      <w:r>
        <w:rPr>
          <w:rFonts w:hint="eastAsia" w:ascii="Times New Roman" w:hAnsi="Times New Roman" w:eastAsia="宋体" w:cs="Times New Roman"/>
          <w:color w:val="auto"/>
          <w:sz w:val="24"/>
          <w:szCs w:val="24"/>
          <w:highlight w:val="none"/>
        </w:rPr>
        <w:t>保证金</w:t>
      </w:r>
      <w:r>
        <w:rPr>
          <w:rFonts w:hint="eastAsia" w:ascii="Times New Roman" w:hAnsi="Times New Roman" w:eastAsia="宋体" w:cs="Times New Roman"/>
          <w:color w:val="auto"/>
          <w:sz w:val="24"/>
          <w:szCs w:val="24"/>
          <w:highlight w:val="none"/>
          <w:lang w:eastAsia="zh-CN"/>
        </w:rPr>
        <w:t>和不退回已交的服务费，乙方投入建设安装的一切设施设备无偿归甲方所有，并赔偿甲方的经济损失）。</w:t>
      </w:r>
    </w:p>
    <w:p>
      <w:pPr>
        <w:pStyle w:val="30"/>
        <w:numPr>
          <w:ilvl w:val="0"/>
          <w:numId w:val="38"/>
        </w:numPr>
        <w:spacing w:line="360" w:lineRule="auto"/>
        <w:ind w:left="0" w:leftChars="0" w:firstLine="42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甲方为确保其依法具有收取车辆管理费的资格及权利，已严格按照有关法律程序研究制定出相关的收费及管理的村规民约，并经党员及村民代表大会表决通过及予以公布后实施，以便于乙方按规定管理及收费。在收费过程中所产生的纠纷投诉，乙方应自行负责处理。重大事件甲方有义务协助处理。</w:t>
      </w:r>
    </w:p>
    <w:p>
      <w:pPr>
        <w:pStyle w:val="30"/>
        <w:numPr>
          <w:ilvl w:val="0"/>
          <w:numId w:val="38"/>
        </w:numPr>
        <w:spacing w:line="360" w:lineRule="auto"/>
        <w:ind w:left="0" w:leftChars="0" w:firstLine="420" w:firstLineChars="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甲方对本辖区内的所有土地拥有使用权，乙方如需规划增设停车位置时必经甲方同意。设置停车位置的土地，如遇甲方开发使用时，乙方无条件配合执行</w:t>
      </w:r>
      <w:r>
        <w:rPr>
          <w:rFonts w:hint="eastAsia" w:ascii="Times New Roman" w:hAnsi="Times New Roman" w:eastAsia="宋体" w:cs="Times New Roman"/>
          <w:color w:val="auto"/>
          <w:sz w:val="24"/>
          <w:szCs w:val="24"/>
          <w:highlight w:val="none"/>
        </w:rPr>
        <w:t>。</w:t>
      </w:r>
    </w:p>
    <w:p>
      <w:pPr>
        <w:pStyle w:val="35"/>
        <w:numPr>
          <w:ilvl w:val="0"/>
          <w:numId w:val="31"/>
        </w:numPr>
        <w:spacing w:before="240" w:beforeLines="100" w:after="120" w:afterLines="50" w:line="360" w:lineRule="auto"/>
        <w:rPr>
          <w:rFonts w:hint="eastAsia"/>
          <w:b/>
          <w:color w:val="auto"/>
          <w:sz w:val="24"/>
          <w:szCs w:val="24"/>
          <w:highlight w:val="none"/>
        </w:rPr>
      </w:pPr>
      <w:r>
        <w:rPr>
          <w:rFonts w:hint="eastAsia"/>
          <w:b/>
          <w:color w:val="auto"/>
          <w:sz w:val="24"/>
          <w:szCs w:val="24"/>
          <w:highlight w:val="none"/>
        </w:rPr>
        <w:t>乙方的权利和义务</w:t>
      </w:r>
    </w:p>
    <w:p>
      <w:pPr>
        <w:pStyle w:val="30"/>
        <w:numPr>
          <w:ilvl w:val="0"/>
          <w:numId w:val="39"/>
        </w:numPr>
        <w:spacing w:line="360" w:lineRule="auto"/>
        <w:ind w:left="0" w:leftChars="0" w:firstLine="42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乙方要根据国家的有关法律、法规、政策及本合同的有关规定，在不违反本合同规定的基础上，自行制定有关规章制度车辆管理办法、实施细则等规定，乙方的管理工作不得影响甲方工作人员的日常正常工作。</w:t>
      </w:r>
    </w:p>
    <w:p>
      <w:pPr>
        <w:pStyle w:val="30"/>
        <w:numPr>
          <w:ilvl w:val="0"/>
          <w:numId w:val="39"/>
        </w:numPr>
        <w:spacing w:line="360" w:lineRule="auto"/>
        <w:ind w:left="0" w:leftChars="0" w:firstLine="42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乙方要严格按照甲方制定的车辆管理收费标准进行收取车辆管理费。并提供优质的停车管理及道路交通管理服务，不得出现只收费不服务或多收费少服务的行为，如发现有，经指出不改的，视为乙方根本违约，甲方有权单方面解除合同，不予退还乙方履约保证金和不退回已交的服务费，乙方投入建设安装的一切设施设备无偿归甲方所有。</w:t>
      </w:r>
    </w:p>
    <w:p>
      <w:pPr>
        <w:pStyle w:val="30"/>
        <w:numPr>
          <w:ilvl w:val="0"/>
          <w:numId w:val="39"/>
        </w:numPr>
        <w:spacing w:line="360" w:lineRule="auto"/>
        <w:ind w:left="0" w:leftChars="0" w:firstLine="42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为了日常管理工作能正常运作，乙方必须根据工作需要配置足够的工作人员（不少于3人）并办理好用工手续及购买意外保险。乙方员工不纳入甲方用工编制，不享受甲方员工的福利待遇，与甲方不成立劳动或劳务关系。乙方工作人员在合同期内所发生的安全事故、工伤及劳资纠纷等均由乙方负责，一切责任与甲方无关，如屡屡出现人手不足的现象，视为乙方根本违约，甲方有权单方面解除合同，不予退还乙方履约保证金和不退回已交的服务费，乙方投入建设安装的一切设施设备无偿归甲方所有。</w:t>
      </w:r>
    </w:p>
    <w:p>
      <w:pPr>
        <w:pStyle w:val="30"/>
        <w:numPr>
          <w:ilvl w:val="0"/>
          <w:numId w:val="39"/>
        </w:numPr>
        <w:spacing w:line="360" w:lineRule="auto"/>
        <w:ind w:left="0" w:leftChars="0" w:firstLine="42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乙方要严格督促工作人员做好辖区内的日常道路交通管理巡查工作，确保村内各道闸出入口及各大小村道时刻保持畅通无阻，不得出现有车辆因乱停放而导致阻塞交通的现象发生。如出现有阻塞现象应派人到现场及时处理，如出现有15分钟后还没有人处理的现象，甲方有权收取乙方每次人民币200元的违约金。</w:t>
      </w:r>
    </w:p>
    <w:p>
      <w:pPr>
        <w:pStyle w:val="30"/>
        <w:numPr>
          <w:ilvl w:val="0"/>
          <w:numId w:val="39"/>
        </w:numPr>
        <w:spacing w:line="360" w:lineRule="auto"/>
        <w:ind w:left="0" w:leftChars="0" w:firstLine="42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乙方工作人员上班时要着装统一，工作要吃苦耐劳，勤巡勤查，待人处事需热情服务，如出现有因工作人员礼貌不周或处事不公而导致发生纠纷案和投诉案的，乙方要自行及时设法处理，事后要自查自纠，吸取教训及时整改。合同期内出现三次投诉的，甲方有权解除本合同，并视乙方违约，不予退还乙方履约保证金以作为甲方的经济补偿。</w:t>
      </w:r>
    </w:p>
    <w:p>
      <w:pPr>
        <w:pStyle w:val="30"/>
        <w:numPr>
          <w:ilvl w:val="0"/>
          <w:numId w:val="39"/>
        </w:numPr>
        <w:spacing w:line="360" w:lineRule="auto"/>
        <w:ind w:left="0" w:leftChars="0" w:firstLine="42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为了切实做好车辆的有序停放管理，乙方要适时对辖区内的停车位进行合理规划设置。将本地车位与外地临时车位进行区分管理，乙方应严格管理控制禁止外来车辆在本地车位上停放过夜。吉利上二村辖区内的村民住宅以外的车位均为共享车位，禁止私装地锁或摆设物品霸占，否则乙方有权没收处理。</w:t>
      </w:r>
    </w:p>
    <w:p>
      <w:pPr>
        <w:pStyle w:val="30"/>
        <w:numPr>
          <w:ilvl w:val="0"/>
          <w:numId w:val="39"/>
        </w:numPr>
        <w:spacing w:line="360" w:lineRule="auto"/>
        <w:ind w:left="0" w:leftChars="0" w:firstLine="42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乙方在签订合同后，根据现时村内情况，对辖区内破旧车位重新划热熔线（破旧车位数待定），并完善所有道路标识、道路监控以及部分停车位设施。统一完善后，乙方也要对车位划线、道路标识、停车设施等定期检查及维护更新，对危险路段及停车场等做好交通标志指示牌的安装，以起到警示作用（如禁停牌、限速牌、限重牌、停车场标识、凸面广角镜等）。上述所产生的一切费用均由乙方承担。</w:t>
      </w:r>
    </w:p>
    <w:p>
      <w:pPr>
        <w:pStyle w:val="30"/>
        <w:numPr>
          <w:ilvl w:val="0"/>
          <w:numId w:val="39"/>
        </w:numPr>
        <w:spacing w:line="360" w:lineRule="auto"/>
        <w:ind w:left="0" w:leftChars="0" w:firstLine="42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平时需对所有设备进行维护、保养以确保其正常运行工作。在合同期内，乙方对车辆管理的设备维护更新或增设等费用均由乙方承担。合同期满后，乙方须要将所有设备（含新建和原有的硬件与软件）及各类管理档案资料等正常完好地无偿移交给甲方。如有损坏，甲方有权请人进行修复，但所产生费用均由乙方支付或从保证金处扣除。</w:t>
      </w:r>
    </w:p>
    <w:p>
      <w:pPr>
        <w:pStyle w:val="35"/>
        <w:numPr>
          <w:ilvl w:val="0"/>
          <w:numId w:val="31"/>
        </w:numPr>
        <w:spacing w:before="240" w:beforeLines="100" w:after="120" w:afterLines="50" w:line="360" w:lineRule="auto"/>
        <w:rPr>
          <w:rFonts w:hint="eastAsia"/>
          <w:b/>
          <w:color w:val="auto"/>
          <w:sz w:val="24"/>
          <w:szCs w:val="24"/>
          <w:highlight w:val="none"/>
        </w:rPr>
      </w:pPr>
      <w:r>
        <w:rPr>
          <w:rFonts w:hint="eastAsia"/>
          <w:b/>
          <w:color w:val="auto"/>
          <w:sz w:val="24"/>
          <w:szCs w:val="24"/>
          <w:highlight w:val="none"/>
        </w:rPr>
        <w:t>售后服务要求</w:t>
      </w:r>
    </w:p>
    <w:p>
      <w:pPr>
        <w:pStyle w:val="35"/>
        <w:numPr>
          <w:ilvl w:val="0"/>
          <w:numId w:val="0"/>
        </w:numPr>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乙方售后服务机构名称及地址：</w:t>
      </w:r>
    </w:p>
    <w:p>
      <w:pPr>
        <w:pStyle w:val="35"/>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联系人1：，联系电话：，手机：，传真：</w:t>
      </w:r>
    </w:p>
    <w:p>
      <w:pPr>
        <w:pStyle w:val="35"/>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联系人2：，联系电话：，手机：，传真：</w:t>
      </w:r>
    </w:p>
    <w:p>
      <w:pPr>
        <w:pStyle w:val="35"/>
        <w:numPr>
          <w:ilvl w:val="0"/>
          <w:numId w:val="31"/>
        </w:numPr>
        <w:spacing w:before="240" w:beforeLines="10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违约责任</w:t>
      </w:r>
    </w:p>
    <w:p>
      <w:pPr>
        <w:pStyle w:val="30"/>
        <w:numPr>
          <w:ilvl w:val="0"/>
          <w:numId w:val="40"/>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乙方不能拆解分包，转包他人经营，更不能有包上包行为。若在经营过程中发现此情况，甲方有权</w:t>
      </w:r>
      <w:r>
        <w:rPr>
          <w:rFonts w:hint="eastAsia" w:ascii="宋体" w:hAnsi="宋体" w:cs="宋体"/>
          <w:color w:val="auto"/>
          <w:sz w:val="24"/>
          <w:szCs w:val="24"/>
          <w:highlight w:val="none"/>
          <w:lang w:eastAsia="zh-CN"/>
        </w:rPr>
        <w:t>不予退还</w:t>
      </w:r>
      <w:r>
        <w:rPr>
          <w:rFonts w:hint="eastAsia" w:ascii="宋体" w:hAnsi="宋体" w:eastAsia="宋体" w:cs="宋体"/>
          <w:color w:val="auto"/>
          <w:sz w:val="24"/>
          <w:szCs w:val="24"/>
          <w:highlight w:val="none"/>
        </w:rPr>
        <w:t>乙方履约保证金及管理设备，并依法追究相关责任人法律责任。乙方未按要求履行合同义务时，对逾期支付服务费的，从逾期之日起每日按合同总额的2‰比例向甲方支付违约金；逾期15日以上时，甲方有权单方面解除合同，</w:t>
      </w:r>
      <w:r>
        <w:rPr>
          <w:rFonts w:hint="eastAsia" w:ascii="宋体" w:hAnsi="宋体" w:cs="宋体"/>
          <w:color w:val="auto"/>
          <w:sz w:val="24"/>
          <w:szCs w:val="24"/>
          <w:highlight w:val="none"/>
          <w:lang w:eastAsia="zh-CN"/>
        </w:rPr>
        <w:t>不予退还乙方履约保证金</w:t>
      </w:r>
      <w:r>
        <w:rPr>
          <w:rFonts w:hint="eastAsia" w:ascii="宋体" w:hAnsi="宋体" w:eastAsia="宋体" w:cs="宋体"/>
          <w:color w:val="auto"/>
          <w:sz w:val="24"/>
          <w:szCs w:val="24"/>
          <w:highlight w:val="none"/>
        </w:rPr>
        <w:t>，乙方投入建设安装的一切设施设备无偿归甲方所有，由此造成甲方的经济损失由乙方承担，违约金不足以弥补损失的，乙方应按全额赔偿。</w:t>
      </w:r>
    </w:p>
    <w:p>
      <w:pPr>
        <w:pStyle w:val="30"/>
        <w:numPr>
          <w:ilvl w:val="0"/>
          <w:numId w:val="40"/>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合同期内因违反本服务合同的约定，无法向甲方提供正常服务时，甲方有权要求乙方限期整改，并向乙方提交书面整改通知书，具体的整改时间届时按事故的大小在通知书内定明，如乙方逾期未能整改而造成甲方损失的，甲方将依照乙方的权利和义务确定乙方责任，依照本合同书约定由乙方承担相应的经济赔偿，如乙方概不履行责任时，视为乙方根本违约，甲方有权单方面解除合同，</w:t>
      </w:r>
      <w:r>
        <w:rPr>
          <w:rFonts w:hint="eastAsia" w:ascii="宋体" w:hAnsi="宋体" w:cs="宋体"/>
          <w:color w:val="auto"/>
          <w:sz w:val="24"/>
          <w:szCs w:val="24"/>
          <w:highlight w:val="none"/>
          <w:lang w:eastAsia="zh-CN"/>
        </w:rPr>
        <w:t>不予退还乙方履约保证金</w:t>
      </w:r>
      <w:r>
        <w:rPr>
          <w:rFonts w:hint="eastAsia" w:ascii="宋体" w:hAnsi="宋体" w:eastAsia="宋体" w:cs="宋体"/>
          <w:color w:val="auto"/>
          <w:sz w:val="24"/>
          <w:szCs w:val="24"/>
          <w:highlight w:val="none"/>
        </w:rPr>
        <w:t>和不退回已交的服务费，乙方投入建设安装的一切设施设备无偿归甲方所有。</w:t>
      </w:r>
    </w:p>
    <w:p>
      <w:pPr>
        <w:pStyle w:val="30"/>
        <w:numPr>
          <w:ilvl w:val="0"/>
          <w:numId w:val="40"/>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因甲方的原因致使乙方无法提供正常服务时，乙方有权要求甲方在一定期限内解决并向甲方提交限期解决通知书，解决时间届时按事故大小在整改通知书上定明，如属甲方责任，甲方应给予乙方合理经济赔偿。如遇不可抗力及双方认定的特殊情况双方可协商处理。</w:t>
      </w:r>
    </w:p>
    <w:p>
      <w:pPr>
        <w:pStyle w:val="30"/>
        <w:numPr>
          <w:ilvl w:val="0"/>
          <w:numId w:val="40"/>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在经表决的方案范围内制定停车管理细则，管理细则需报甲方同意，并在停车场及公共地方进行公示。乙方与甲方严格执行合同规定，若在实际管理中有与以上条文冲突的情况，为更好地服务村民，在不改变大框架的情况下，经双方协商进行适当调整相关内容，调整的相关内容需经相关民主议事决定，做好相关记录，并在村内公示，经公示无异议后，双方另外签订补充协议。</w:t>
      </w:r>
    </w:p>
    <w:p>
      <w:pPr>
        <w:pStyle w:val="30"/>
        <w:numPr>
          <w:ilvl w:val="0"/>
          <w:numId w:val="40"/>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出租屋业主未交年度垃圾费的，其属下</w:t>
      </w:r>
      <w:r>
        <w:rPr>
          <w:rFonts w:hint="eastAsia" w:ascii="宋体" w:hAnsi="宋体" w:cs="宋体"/>
          <w:color w:val="auto"/>
          <w:sz w:val="24"/>
          <w:szCs w:val="24"/>
          <w:highlight w:val="none"/>
          <w:lang w:eastAsia="zh-CN"/>
        </w:rPr>
        <w:t>租赁</w:t>
      </w:r>
      <w:r>
        <w:rPr>
          <w:rFonts w:hint="eastAsia" w:ascii="宋体" w:hAnsi="宋体" w:eastAsia="宋体" w:cs="宋体"/>
          <w:color w:val="auto"/>
          <w:sz w:val="24"/>
          <w:szCs w:val="24"/>
          <w:highlight w:val="none"/>
        </w:rPr>
        <w:t>的租客的车辆不能录入登记。</w:t>
      </w:r>
    </w:p>
    <w:p>
      <w:pPr>
        <w:pStyle w:val="30"/>
        <w:numPr>
          <w:ilvl w:val="0"/>
          <w:numId w:val="40"/>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为缓解停车位压力，经甲方同意，乙方可充分利用村内指定的闲置地规划停车位，若日后甲方对该闲置地有发展规划需要，乙方需无条件配合。如本方案与相关法律法规有冲突的，则按照法律法规适当调整</w:t>
      </w:r>
      <w:r>
        <w:rPr>
          <w:rFonts w:hint="eastAsia" w:ascii="宋体" w:hAnsi="宋体" w:cs="宋体"/>
          <w:color w:val="auto"/>
          <w:sz w:val="24"/>
          <w:szCs w:val="24"/>
          <w:highlight w:val="none"/>
          <w:lang w:eastAsia="zh-CN"/>
        </w:rPr>
        <w:t>。</w:t>
      </w:r>
    </w:p>
    <w:p>
      <w:pPr>
        <w:pStyle w:val="35"/>
        <w:numPr>
          <w:ilvl w:val="0"/>
          <w:numId w:val="31"/>
        </w:numPr>
        <w:spacing w:before="240" w:beforeLines="10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提出异议的时间和方法</w:t>
      </w:r>
    </w:p>
    <w:p>
      <w:pPr>
        <w:pStyle w:val="30"/>
        <w:numPr>
          <w:ilvl w:val="0"/>
          <w:numId w:val="41"/>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甲方在服务期内如对服务质量有异议时，即向乙方提出书面异议。</w:t>
      </w:r>
    </w:p>
    <w:p>
      <w:pPr>
        <w:pStyle w:val="30"/>
        <w:numPr>
          <w:ilvl w:val="0"/>
          <w:numId w:val="41"/>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乙方在甲方提出书面异议之日起3天内负责处理并函复甲方处理情况，否则，即视为默认甲方提出的异议和处理意见。</w:t>
      </w:r>
    </w:p>
    <w:p>
      <w:pPr>
        <w:pStyle w:val="30"/>
        <w:numPr>
          <w:ilvl w:val="0"/>
          <w:numId w:val="41"/>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利用专业优势和信息不对称之便，以不道德的手段，故意隐瞒和掩盖自身缔约过失，违背投标承诺和未尽义务，损害了甲方的合法权益，甲方在任何时候均可追究乙方的违约责任并索取赔偿，且不受验收程序、质保期和合同时效的限制。</w:t>
      </w:r>
    </w:p>
    <w:p>
      <w:pPr>
        <w:pStyle w:val="35"/>
        <w:numPr>
          <w:ilvl w:val="0"/>
          <w:numId w:val="31"/>
        </w:numPr>
        <w:spacing w:before="240" w:beforeLines="10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争议的解决</w:t>
      </w:r>
    </w:p>
    <w:p>
      <w:pPr>
        <w:pStyle w:val="30"/>
        <w:numPr>
          <w:ilvl w:val="0"/>
          <w:numId w:val="42"/>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合同履行过程中发生的任何争议，如双方未能通过友好协商解决，应向甲方所在地的人民法院提起诉讼。</w:t>
      </w:r>
    </w:p>
    <w:p>
      <w:pPr>
        <w:pStyle w:val="30"/>
        <w:numPr>
          <w:ilvl w:val="0"/>
          <w:numId w:val="42"/>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法院审理期间，除提交法院审理的事项外，其它无争议的事项和条款仍应继续履行。</w:t>
      </w:r>
    </w:p>
    <w:p>
      <w:pPr>
        <w:pStyle w:val="35"/>
        <w:numPr>
          <w:ilvl w:val="0"/>
          <w:numId w:val="31"/>
        </w:numPr>
        <w:spacing w:before="240" w:beforeLines="10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不可抗力</w:t>
      </w:r>
    </w:p>
    <w:p>
      <w:pPr>
        <w:pStyle w:val="35"/>
        <w:numPr>
          <w:ilvl w:val="0"/>
          <w:numId w:val="0"/>
        </w:numPr>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pPr>
        <w:pStyle w:val="35"/>
        <w:numPr>
          <w:ilvl w:val="0"/>
          <w:numId w:val="31"/>
        </w:numPr>
        <w:spacing w:before="240" w:beforeLines="10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税费</w:t>
      </w:r>
    </w:p>
    <w:p>
      <w:pPr>
        <w:pStyle w:val="35"/>
        <w:numPr>
          <w:ilvl w:val="0"/>
          <w:numId w:val="0"/>
        </w:numPr>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与本合同相关的一切税费及不可预见费用均由乙方负担。</w:t>
      </w:r>
    </w:p>
    <w:p>
      <w:pPr>
        <w:pStyle w:val="35"/>
        <w:numPr>
          <w:ilvl w:val="0"/>
          <w:numId w:val="31"/>
        </w:numPr>
        <w:spacing w:before="240" w:beforeLines="10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合同生效</w:t>
      </w:r>
    </w:p>
    <w:p>
      <w:pPr>
        <w:pStyle w:val="35"/>
        <w:numPr>
          <w:ilvl w:val="0"/>
          <w:numId w:val="0"/>
        </w:numPr>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本合同自甲乙双方法定代表人或其授权代表签字并盖章之日起生效。</w:t>
      </w:r>
    </w:p>
    <w:p>
      <w:pPr>
        <w:pStyle w:val="35"/>
        <w:numPr>
          <w:ilvl w:val="0"/>
          <w:numId w:val="31"/>
        </w:numPr>
        <w:spacing w:before="240" w:beforeLines="10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其它</w:t>
      </w:r>
    </w:p>
    <w:p>
      <w:pPr>
        <w:pStyle w:val="30"/>
        <w:numPr>
          <w:ilvl w:val="0"/>
          <w:numId w:val="43"/>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所有经一方或双方签署确认的文件（包括会议纪要、补充协议、往来信函）、采购文件、要约文件和响应承诺文件、合同附件及《</w:t>
      </w:r>
      <w:r>
        <w:rPr>
          <w:rFonts w:hint="eastAsia" w:ascii="宋体" w:hAnsi="宋体" w:cs="宋体"/>
          <w:color w:val="auto"/>
          <w:sz w:val="24"/>
          <w:szCs w:val="24"/>
          <w:highlight w:val="none"/>
          <w:lang w:eastAsia="zh-CN"/>
        </w:rPr>
        <w:t>中标通知书</w:t>
      </w:r>
      <w:r>
        <w:rPr>
          <w:rFonts w:hint="eastAsia" w:ascii="宋体" w:hAnsi="宋体" w:eastAsia="宋体" w:cs="宋体"/>
          <w:color w:val="auto"/>
          <w:sz w:val="24"/>
          <w:szCs w:val="24"/>
          <w:highlight w:val="none"/>
        </w:rPr>
        <w:t>》均为本合同不可分割的有效组成部分，具有法律效力和履约义务，其缔约生效日期为有效签署或盖章确认之日期。</w:t>
      </w:r>
    </w:p>
    <w:p>
      <w:pPr>
        <w:pStyle w:val="30"/>
        <w:numPr>
          <w:ilvl w:val="0"/>
          <w:numId w:val="43"/>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如一方地址、电话、传真号码有变更，应在变更当日内书面通知对方，否则，应承担相应责任。</w:t>
      </w:r>
    </w:p>
    <w:p>
      <w:pPr>
        <w:pStyle w:val="30"/>
        <w:numPr>
          <w:ilvl w:val="0"/>
          <w:numId w:val="43"/>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未经甲方书面同意，乙方不得擅自向第三方转让本合同任何义务。</w:t>
      </w:r>
    </w:p>
    <w:p>
      <w:pPr>
        <w:pStyle w:val="30"/>
        <w:numPr>
          <w:ilvl w:val="0"/>
          <w:numId w:val="43"/>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本合同一式份，甲方执份、乙方执份。</w:t>
      </w:r>
    </w:p>
    <w:p>
      <w:pPr>
        <w:pStyle w:val="30"/>
        <w:numPr>
          <w:ilvl w:val="0"/>
          <w:numId w:val="43"/>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本合同共计页A4纸张，缺页之合同为无效合同。</w:t>
      </w:r>
    </w:p>
    <w:p>
      <w:pPr>
        <w:pStyle w:val="30"/>
        <w:numPr>
          <w:ilvl w:val="0"/>
          <w:numId w:val="43"/>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本合同签约履约地点：广东省佛山市</w:t>
      </w:r>
      <w:r>
        <w:rPr>
          <w:rFonts w:hint="eastAsia" w:ascii="宋体" w:hAnsi="宋体" w:cs="宋体"/>
          <w:color w:val="auto"/>
          <w:sz w:val="24"/>
          <w:szCs w:val="24"/>
          <w:highlight w:val="none"/>
          <w:lang w:eastAsia="zh-CN"/>
        </w:rPr>
        <w:t>禅城区</w:t>
      </w:r>
      <w:r>
        <w:rPr>
          <w:rFonts w:hint="eastAsia" w:ascii="宋体" w:hAnsi="宋体" w:eastAsia="宋体" w:cs="宋体"/>
          <w:color w:val="auto"/>
          <w:sz w:val="24"/>
          <w:szCs w:val="24"/>
          <w:highlight w:val="none"/>
        </w:rPr>
        <w:t>。</w:t>
      </w:r>
    </w:p>
    <w:p>
      <w:pPr>
        <w:pStyle w:val="30"/>
        <w:numPr>
          <w:ilvl w:val="0"/>
          <w:numId w:val="43"/>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双方均已对以上各条款及附件作充分了解，并明确理解由此而产生的相关权责。</w:t>
      </w:r>
    </w:p>
    <w:p>
      <w:pPr>
        <w:pStyle w:val="35"/>
        <w:spacing w:line="360" w:lineRule="auto"/>
        <w:rPr>
          <w:rFonts w:hint="eastAsia" w:eastAsia="宋体"/>
          <w:color w:val="auto"/>
          <w:sz w:val="24"/>
          <w:szCs w:val="24"/>
          <w:highlight w:val="none"/>
          <w:lang w:eastAsia="zh-CN"/>
        </w:rPr>
      </w:pPr>
    </w:p>
    <w:tbl>
      <w:tblPr>
        <w:tblStyle w:val="19"/>
        <w:tblW w:w="9360" w:type="dxa"/>
        <w:tblInd w:w="-72" w:type="dxa"/>
        <w:tblLayout w:type="fixed"/>
        <w:tblCellMar>
          <w:top w:w="0" w:type="dxa"/>
          <w:left w:w="108" w:type="dxa"/>
          <w:bottom w:w="0" w:type="dxa"/>
          <w:right w:w="108" w:type="dxa"/>
        </w:tblCellMar>
      </w:tblPr>
      <w:tblGrid>
        <w:gridCol w:w="4680"/>
        <w:gridCol w:w="4680"/>
      </w:tblGrid>
      <w:tr>
        <w:tblPrEx>
          <w:tblCellMar>
            <w:top w:w="0" w:type="dxa"/>
            <w:left w:w="108" w:type="dxa"/>
            <w:bottom w:w="0" w:type="dxa"/>
            <w:right w:w="108" w:type="dxa"/>
          </w:tblCellMar>
        </w:tblPrEx>
        <w:trPr>
          <w:trHeight w:val="2565" w:hRule="atLeast"/>
        </w:trPr>
        <w:tc>
          <w:tcPr>
            <w:tcW w:w="4680" w:type="dxa"/>
            <w:tcBorders>
              <w:top w:val="single" w:color="auto" w:sz="4" w:space="0"/>
              <w:left w:val="single" w:color="auto" w:sz="4" w:space="0"/>
              <w:bottom w:val="single" w:color="auto" w:sz="4" w:space="0"/>
              <w:right w:val="single" w:color="auto" w:sz="4" w:space="0"/>
            </w:tcBorders>
            <w:noWrap w:val="0"/>
            <w:vAlign w:val="top"/>
          </w:tcPr>
          <w:p>
            <w:pPr>
              <w:pStyle w:val="35"/>
              <w:spacing w:line="480" w:lineRule="auto"/>
              <w:rPr>
                <w:rFonts w:hint="eastAsia"/>
                <w:b/>
                <w:bCs/>
                <w:color w:val="auto"/>
                <w:sz w:val="24"/>
                <w:szCs w:val="24"/>
                <w:highlight w:val="none"/>
              </w:rPr>
            </w:pPr>
            <w:r>
              <w:rPr>
                <w:rFonts w:hint="eastAsia"/>
                <w:b/>
                <w:bCs/>
                <w:color w:val="auto"/>
                <w:sz w:val="24"/>
                <w:szCs w:val="24"/>
                <w:highlight w:val="none"/>
              </w:rPr>
              <w:t>甲方（盖章）：</w:t>
            </w:r>
          </w:p>
          <w:p>
            <w:pPr>
              <w:pStyle w:val="35"/>
              <w:spacing w:line="360" w:lineRule="auto"/>
              <w:rPr>
                <w:color w:val="auto"/>
                <w:sz w:val="24"/>
                <w:szCs w:val="24"/>
                <w:highlight w:val="none"/>
                <w:u w:val="dotted"/>
              </w:rPr>
            </w:pPr>
            <w:r>
              <w:rPr>
                <w:rFonts w:hint="eastAsia"/>
                <w:color w:val="auto"/>
                <w:sz w:val="24"/>
                <w:szCs w:val="24"/>
                <w:highlight w:val="none"/>
              </w:rPr>
              <w:t>代表：</w:t>
            </w:r>
            <w:r>
              <w:rPr>
                <w:color w:val="auto"/>
                <w:sz w:val="24"/>
                <w:szCs w:val="24"/>
                <w:highlight w:val="none"/>
              </w:rPr>
              <w:t> </w:t>
            </w:r>
          </w:p>
          <w:p>
            <w:pPr>
              <w:pStyle w:val="35"/>
              <w:rPr>
                <w:color w:val="auto"/>
                <w:sz w:val="24"/>
                <w:szCs w:val="24"/>
                <w:highlight w:val="none"/>
              </w:rPr>
            </w:pPr>
            <w:r>
              <w:rPr>
                <w:rFonts w:hint="eastAsia"/>
                <w:color w:val="auto"/>
                <w:sz w:val="24"/>
                <w:szCs w:val="24"/>
                <w:highlight w:val="none"/>
              </w:rPr>
              <w:t>地址：</w:t>
            </w:r>
          </w:p>
          <w:p>
            <w:pPr>
              <w:pStyle w:val="35"/>
              <w:rPr>
                <w:color w:val="auto"/>
                <w:sz w:val="24"/>
                <w:szCs w:val="24"/>
                <w:highlight w:val="none"/>
              </w:rPr>
            </w:pPr>
            <w:r>
              <w:rPr>
                <w:rFonts w:hint="eastAsia"/>
                <w:color w:val="auto"/>
                <w:sz w:val="24"/>
                <w:szCs w:val="24"/>
                <w:highlight w:val="none"/>
              </w:rPr>
              <w:t>电话：</w:t>
            </w:r>
          </w:p>
          <w:p>
            <w:pPr>
              <w:pStyle w:val="35"/>
              <w:rPr>
                <w:color w:val="auto"/>
                <w:sz w:val="24"/>
                <w:szCs w:val="24"/>
                <w:highlight w:val="none"/>
              </w:rPr>
            </w:pPr>
            <w:r>
              <w:rPr>
                <w:rFonts w:hint="eastAsia"/>
                <w:color w:val="auto"/>
                <w:sz w:val="24"/>
                <w:szCs w:val="24"/>
                <w:highlight w:val="none"/>
              </w:rPr>
              <w:t>传真：</w:t>
            </w:r>
          </w:p>
          <w:p>
            <w:pPr>
              <w:pStyle w:val="35"/>
              <w:spacing w:line="360" w:lineRule="auto"/>
              <w:rPr>
                <w:b/>
                <w:bCs/>
                <w:color w:val="auto"/>
                <w:sz w:val="24"/>
                <w:szCs w:val="24"/>
                <w:highlight w:val="none"/>
              </w:rPr>
            </w:pPr>
            <w:r>
              <w:rPr>
                <w:rFonts w:hint="eastAsia"/>
                <w:color w:val="auto"/>
                <w:sz w:val="24"/>
                <w:szCs w:val="24"/>
                <w:highlight w:val="none"/>
              </w:rPr>
              <w:t>日期：年月日</w:t>
            </w:r>
          </w:p>
        </w:tc>
        <w:tc>
          <w:tcPr>
            <w:tcW w:w="4680" w:type="dxa"/>
            <w:tcBorders>
              <w:top w:val="single" w:color="auto" w:sz="4" w:space="0"/>
              <w:left w:val="nil"/>
              <w:bottom w:val="single" w:color="auto" w:sz="4" w:space="0"/>
              <w:right w:val="single" w:color="auto" w:sz="4" w:space="0"/>
            </w:tcBorders>
            <w:noWrap w:val="0"/>
            <w:vAlign w:val="top"/>
          </w:tcPr>
          <w:p>
            <w:pPr>
              <w:pStyle w:val="35"/>
              <w:spacing w:line="480" w:lineRule="auto"/>
              <w:rPr>
                <w:b/>
                <w:bCs/>
                <w:color w:val="auto"/>
                <w:sz w:val="24"/>
                <w:szCs w:val="24"/>
                <w:highlight w:val="none"/>
              </w:rPr>
            </w:pPr>
            <w:r>
              <w:rPr>
                <w:rFonts w:hint="eastAsia"/>
                <w:b/>
                <w:bCs/>
                <w:color w:val="auto"/>
                <w:sz w:val="24"/>
                <w:szCs w:val="24"/>
                <w:highlight w:val="none"/>
              </w:rPr>
              <w:t>乙方（盖章）：</w:t>
            </w:r>
          </w:p>
          <w:p>
            <w:pPr>
              <w:pStyle w:val="35"/>
              <w:spacing w:line="360" w:lineRule="auto"/>
              <w:rPr>
                <w:rFonts w:hint="eastAsia" w:eastAsia="宋体"/>
                <w:color w:val="auto"/>
                <w:sz w:val="24"/>
                <w:szCs w:val="24"/>
                <w:highlight w:val="none"/>
                <w:u w:val="dotted"/>
                <w:lang w:eastAsia="zh-CN"/>
              </w:rPr>
            </w:pPr>
            <w:r>
              <w:rPr>
                <w:rFonts w:hint="eastAsia"/>
                <w:color w:val="auto"/>
                <w:sz w:val="24"/>
                <w:szCs w:val="24"/>
                <w:highlight w:val="none"/>
              </w:rPr>
              <w:t>代表：</w:t>
            </w:r>
          </w:p>
          <w:p>
            <w:pPr>
              <w:pStyle w:val="35"/>
              <w:rPr>
                <w:color w:val="auto"/>
                <w:sz w:val="24"/>
                <w:szCs w:val="24"/>
                <w:highlight w:val="none"/>
              </w:rPr>
            </w:pPr>
            <w:r>
              <w:rPr>
                <w:rFonts w:hint="eastAsia"/>
                <w:color w:val="auto"/>
                <w:sz w:val="24"/>
                <w:szCs w:val="24"/>
                <w:highlight w:val="none"/>
              </w:rPr>
              <w:t>地址：</w:t>
            </w:r>
          </w:p>
          <w:p>
            <w:pPr>
              <w:pStyle w:val="35"/>
              <w:rPr>
                <w:color w:val="auto"/>
                <w:sz w:val="24"/>
                <w:szCs w:val="24"/>
                <w:highlight w:val="none"/>
              </w:rPr>
            </w:pPr>
            <w:r>
              <w:rPr>
                <w:rFonts w:hint="eastAsia"/>
                <w:color w:val="auto"/>
                <w:sz w:val="24"/>
                <w:szCs w:val="24"/>
                <w:highlight w:val="none"/>
              </w:rPr>
              <w:t>电话：</w:t>
            </w:r>
          </w:p>
          <w:p>
            <w:pPr>
              <w:pStyle w:val="35"/>
              <w:rPr>
                <w:color w:val="auto"/>
                <w:sz w:val="24"/>
                <w:szCs w:val="24"/>
                <w:highlight w:val="none"/>
              </w:rPr>
            </w:pPr>
            <w:r>
              <w:rPr>
                <w:rFonts w:hint="eastAsia"/>
                <w:color w:val="auto"/>
                <w:sz w:val="24"/>
                <w:szCs w:val="24"/>
                <w:highlight w:val="none"/>
              </w:rPr>
              <w:t>传真：</w:t>
            </w:r>
          </w:p>
          <w:p>
            <w:pPr>
              <w:pStyle w:val="35"/>
              <w:spacing w:line="360" w:lineRule="auto"/>
              <w:rPr>
                <w:b/>
                <w:bCs/>
                <w:color w:val="auto"/>
                <w:sz w:val="24"/>
                <w:szCs w:val="24"/>
                <w:highlight w:val="none"/>
              </w:rPr>
            </w:pPr>
            <w:r>
              <w:rPr>
                <w:rFonts w:hint="eastAsia"/>
                <w:color w:val="auto"/>
                <w:sz w:val="24"/>
                <w:szCs w:val="24"/>
                <w:highlight w:val="none"/>
              </w:rPr>
              <w:t>日期：年月日</w:t>
            </w:r>
          </w:p>
        </w:tc>
      </w:tr>
      <w:tr>
        <w:tblPrEx>
          <w:tblCellMar>
            <w:top w:w="0" w:type="dxa"/>
            <w:left w:w="108" w:type="dxa"/>
            <w:bottom w:w="0" w:type="dxa"/>
            <w:right w:w="108" w:type="dxa"/>
          </w:tblCellMar>
        </w:tblPrEx>
        <w:trPr>
          <w:trHeight w:val="1695" w:hRule="atLeast"/>
        </w:trPr>
        <w:tc>
          <w:tcPr>
            <w:tcW w:w="9360" w:type="dxa"/>
            <w:gridSpan w:val="2"/>
            <w:tcBorders>
              <w:top w:val="single" w:color="auto" w:sz="4" w:space="0"/>
              <w:left w:val="single" w:color="auto" w:sz="4" w:space="0"/>
              <w:bottom w:val="single" w:color="auto" w:sz="4" w:space="0"/>
              <w:right w:val="single" w:color="auto" w:sz="4" w:space="0"/>
            </w:tcBorders>
            <w:noWrap w:val="0"/>
            <w:vAlign w:val="top"/>
          </w:tcPr>
          <w:p>
            <w:pPr>
              <w:pStyle w:val="35"/>
              <w:rPr>
                <w:color w:val="auto"/>
                <w:sz w:val="24"/>
                <w:szCs w:val="24"/>
                <w:highlight w:val="none"/>
              </w:rPr>
            </w:pPr>
          </w:p>
          <w:p>
            <w:pPr>
              <w:pStyle w:val="35"/>
              <w:rPr>
                <w:b/>
                <w:bCs/>
                <w:color w:val="auto"/>
                <w:sz w:val="24"/>
                <w:szCs w:val="24"/>
                <w:highlight w:val="none"/>
              </w:rPr>
            </w:pPr>
            <w:r>
              <w:rPr>
                <w:rFonts w:hint="eastAsia"/>
                <w:b/>
                <w:bCs/>
                <w:color w:val="auto"/>
                <w:sz w:val="24"/>
                <w:szCs w:val="24"/>
                <w:highlight w:val="none"/>
                <w:lang w:eastAsia="zh-CN"/>
              </w:rPr>
              <w:t>甲方收款</w:t>
            </w:r>
            <w:r>
              <w:rPr>
                <w:rFonts w:hint="eastAsia"/>
                <w:b/>
                <w:bCs/>
                <w:color w:val="auto"/>
                <w:sz w:val="24"/>
                <w:szCs w:val="24"/>
                <w:highlight w:val="none"/>
              </w:rPr>
              <w:t>专户为：</w:t>
            </w:r>
          </w:p>
          <w:p>
            <w:pPr>
              <w:pStyle w:val="35"/>
              <w:rPr>
                <w:color w:val="auto"/>
                <w:sz w:val="24"/>
                <w:szCs w:val="24"/>
                <w:highlight w:val="none"/>
              </w:rPr>
            </w:pPr>
          </w:p>
          <w:p>
            <w:pPr>
              <w:pStyle w:val="35"/>
              <w:rPr>
                <w:b/>
                <w:bCs/>
                <w:color w:val="auto"/>
                <w:sz w:val="24"/>
                <w:szCs w:val="24"/>
                <w:highlight w:val="none"/>
              </w:rPr>
            </w:pPr>
            <w:r>
              <w:rPr>
                <w:rFonts w:hint="eastAsia"/>
                <w:color w:val="auto"/>
                <w:sz w:val="24"/>
                <w:szCs w:val="24"/>
                <w:highlight w:val="none"/>
              </w:rPr>
              <w:t>开户名称：</w:t>
            </w:r>
          </w:p>
          <w:p>
            <w:pPr>
              <w:pStyle w:val="35"/>
              <w:rPr>
                <w:b/>
                <w:bCs/>
                <w:color w:val="auto"/>
                <w:sz w:val="24"/>
                <w:szCs w:val="24"/>
                <w:highlight w:val="none"/>
              </w:rPr>
            </w:pPr>
            <w:r>
              <w:rPr>
                <w:rFonts w:hint="eastAsia"/>
                <w:color w:val="auto"/>
                <w:sz w:val="24"/>
                <w:szCs w:val="24"/>
                <w:highlight w:val="none"/>
              </w:rPr>
              <w:t>银行</w:t>
            </w:r>
            <w:r>
              <w:rPr>
                <w:rFonts w:hint="eastAsia"/>
                <w:color w:val="auto"/>
                <w:sz w:val="24"/>
                <w:szCs w:val="24"/>
                <w:highlight w:val="none"/>
                <w:lang w:eastAsia="zh-CN"/>
              </w:rPr>
              <w:t>账号</w:t>
            </w:r>
            <w:r>
              <w:rPr>
                <w:rFonts w:hint="eastAsia"/>
                <w:color w:val="auto"/>
                <w:sz w:val="24"/>
                <w:szCs w:val="24"/>
                <w:highlight w:val="none"/>
              </w:rPr>
              <w:t>：</w:t>
            </w:r>
          </w:p>
          <w:p>
            <w:pPr>
              <w:pStyle w:val="35"/>
              <w:spacing w:line="360" w:lineRule="auto"/>
              <w:rPr>
                <w:b/>
                <w:bCs/>
                <w:color w:val="auto"/>
                <w:sz w:val="24"/>
                <w:szCs w:val="24"/>
                <w:highlight w:val="none"/>
              </w:rPr>
            </w:pPr>
            <w:r>
              <w:rPr>
                <w:rFonts w:hint="eastAsia"/>
                <w:color w:val="auto"/>
                <w:sz w:val="24"/>
                <w:szCs w:val="24"/>
                <w:highlight w:val="none"/>
              </w:rPr>
              <w:t>开</w:t>
            </w:r>
            <w:r>
              <w:rPr>
                <w:color w:val="auto"/>
                <w:sz w:val="24"/>
                <w:szCs w:val="24"/>
                <w:highlight w:val="none"/>
              </w:rPr>
              <w:t> </w:t>
            </w:r>
            <w:r>
              <w:rPr>
                <w:rFonts w:hint="eastAsia"/>
                <w:color w:val="auto"/>
                <w:sz w:val="24"/>
                <w:szCs w:val="24"/>
                <w:highlight w:val="none"/>
              </w:rPr>
              <w:t>户</w:t>
            </w:r>
            <w:r>
              <w:rPr>
                <w:color w:val="auto"/>
                <w:sz w:val="24"/>
                <w:szCs w:val="24"/>
                <w:highlight w:val="none"/>
              </w:rPr>
              <w:t> </w:t>
            </w:r>
            <w:r>
              <w:rPr>
                <w:rFonts w:hint="eastAsia"/>
                <w:color w:val="auto"/>
                <w:sz w:val="24"/>
                <w:szCs w:val="24"/>
                <w:highlight w:val="none"/>
              </w:rPr>
              <w:t>行：</w:t>
            </w:r>
          </w:p>
        </w:tc>
      </w:tr>
    </w:tbl>
    <w:p>
      <w:pPr>
        <w:spacing w:line="432" w:lineRule="auto"/>
        <w:rPr>
          <w:rFonts w:ascii="宋体" w:hAnsi="宋体"/>
          <w:color w:val="auto"/>
          <w:highlight w:val="none"/>
        </w:rPr>
      </w:pPr>
    </w:p>
    <w:p>
      <w:pPr>
        <w:rPr>
          <w:rFonts w:ascii="宋体" w:hAnsi="宋体"/>
          <w:color w:val="auto"/>
          <w:highlight w:val="none"/>
        </w:rPr>
      </w:pPr>
    </w:p>
    <w:p>
      <w:pPr>
        <w:spacing w:line="360" w:lineRule="auto"/>
        <w:rPr>
          <w:color w:val="auto"/>
          <w:sz w:val="24"/>
          <w:szCs w:val="24"/>
          <w:highlight w:val="none"/>
        </w:rPr>
      </w:pPr>
      <w:r>
        <w:rPr>
          <w:rFonts w:hint="eastAsia"/>
          <w:b/>
          <w:bCs/>
          <w:color w:val="auto"/>
          <w:sz w:val="24"/>
          <w:szCs w:val="24"/>
          <w:highlight w:val="none"/>
        </w:rPr>
        <w:t>合同附件清单</w:t>
      </w:r>
      <w:r>
        <w:rPr>
          <w:rFonts w:hint="eastAsia"/>
          <w:color w:val="auto"/>
          <w:sz w:val="24"/>
          <w:szCs w:val="24"/>
          <w:highlight w:val="none"/>
        </w:rPr>
        <w:t>（如有，附后；若没有，可删除此部分内容）：</w:t>
      </w:r>
    </w:p>
    <w:p>
      <w:pPr>
        <w:numPr>
          <w:ilvl w:val="0"/>
          <w:numId w:val="44"/>
        </w:numPr>
        <w:tabs>
          <w:tab w:val="left" w:pos="420"/>
        </w:tabs>
        <w:snapToGrid w:val="0"/>
        <w:spacing w:line="360" w:lineRule="auto"/>
        <w:ind w:left="425" w:leftChars="0" w:hanging="425" w:firstLineChars="0"/>
        <w:rPr>
          <w:rFonts w:ascii="宋体" w:hAnsi="宋体"/>
          <w:color w:val="auto"/>
          <w:sz w:val="24"/>
          <w:szCs w:val="24"/>
          <w:highlight w:val="none"/>
          <w:lang w:val="en-GB"/>
        </w:rPr>
      </w:pPr>
      <w:r>
        <w:rPr>
          <w:rFonts w:hint="eastAsia" w:ascii="宋体" w:hAnsi="宋体"/>
          <w:color w:val="auto"/>
          <w:sz w:val="24"/>
          <w:szCs w:val="24"/>
          <w:highlight w:val="none"/>
          <w:lang w:val="en-GB"/>
        </w:rPr>
        <w:t>本合同所有附件均在签订合同时编制，确立依据为</w:t>
      </w:r>
      <w:r>
        <w:rPr>
          <w:rFonts w:hint="eastAsia" w:ascii="宋体" w:hAnsi="宋体"/>
          <w:color w:val="auto"/>
          <w:sz w:val="24"/>
          <w:szCs w:val="24"/>
          <w:highlight w:val="none"/>
          <w:lang w:val="en-GB" w:eastAsia="zh-CN"/>
        </w:rPr>
        <w:t>竞投文件</w:t>
      </w:r>
      <w:r>
        <w:rPr>
          <w:rFonts w:hint="eastAsia" w:ascii="宋体" w:hAnsi="宋体"/>
          <w:color w:val="auto"/>
          <w:sz w:val="24"/>
          <w:szCs w:val="24"/>
          <w:highlight w:val="none"/>
          <w:lang w:val="en-GB"/>
        </w:rPr>
        <w:t>和乙方的</w:t>
      </w:r>
      <w:r>
        <w:rPr>
          <w:rFonts w:hint="eastAsia" w:ascii="宋体" w:hAnsi="宋体"/>
          <w:color w:val="auto"/>
          <w:sz w:val="24"/>
          <w:szCs w:val="24"/>
          <w:highlight w:val="none"/>
          <w:lang w:val="en-GB" w:eastAsia="zh-CN"/>
        </w:rPr>
        <w:t>资格审查</w:t>
      </w:r>
      <w:r>
        <w:rPr>
          <w:rFonts w:hint="eastAsia" w:ascii="宋体" w:hAnsi="宋体"/>
          <w:color w:val="auto"/>
          <w:sz w:val="24"/>
          <w:szCs w:val="24"/>
          <w:highlight w:val="none"/>
          <w:lang w:val="en-GB"/>
        </w:rPr>
        <w:t>文件及相关确认文件；合同附件内容由甲乙双方共同协商确定。</w:t>
      </w:r>
    </w:p>
    <w:p>
      <w:pPr>
        <w:numPr>
          <w:ilvl w:val="0"/>
          <w:numId w:val="44"/>
        </w:numPr>
        <w:tabs>
          <w:tab w:val="left" w:pos="420"/>
        </w:tabs>
        <w:snapToGrid w:val="0"/>
        <w:spacing w:line="360" w:lineRule="auto"/>
        <w:ind w:left="425" w:leftChars="0" w:hanging="425" w:firstLineChars="0"/>
        <w:rPr>
          <w:rFonts w:hint="eastAsia" w:ascii="宋体" w:hAnsi="宋体"/>
          <w:color w:val="auto"/>
          <w:sz w:val="24"/>
          <w:szCs w:val="24"/>
          <w:highlight w:val="none"/>
          <w:lang w:val="en-GB"/>
        </w:rPr>
      </w:pPr>
      <w:r>
        <w:rPr>
          <w:rFonts w:hint="eastAsia" w:ascii="宋体" w:hAnsi="宋体"/>
          <w:color w:val="auto"/>
          <w:sz w:val="24"/>
          <w:szCs w:val="24"/>
          <w:highlight w:val="none"/>
          <w:lang w:val="en-GB"/>
        </w:rPr>
        <w:t>项目重要内容（如：经甲方审核的项目实施方案、项目标的主要内容、乙方提供的参与本项目实施的项目负责人和其他技术人员名单、项目组人员的职称证书和资格证书、项目组人员的联系方式、需求变更说明、培训方案等）可作为附件。</w:t>
      </w:r>
    </w:p>
    <w:bookmarkEnd w:id="78"/>
    <w:p>
      <w:pPr>
        <w:spacing w:line="432" w:lineRule="auto"/>
        <w:rPr>
          <w:rFonts w:ascii="宋体" w:hAnsi="宋体"/>
          <w:color w:val="auto"/>
          <w:highlight w:val="none"/>
        </w:rPr>
      </w:pPr>
    </w:p>
    <w:p>
      <w:pPr>
        <w:rPr>
          <w:rFonts w:ascii="宋体" w:hAnsi="宋体"/>
          <w:color w:val="auto"/>
          <w:highlight w:val="none"/>
        </w:rPr>
      </w:pPr>
    </w:p>
    <w:p>
      <w:pPr>
        <w:rPr>
          <w:rFonts w:hint="eastAsia" w:ascii="宋体" w:hAnsi="宋体"/>
          <w:color w:val="auto"/>
          <w:sz w:val="24"/>
          <w:szCs w:val="24"/>
          <w:highlight w:val="none"/>
          <w:lang w:val="en-GB"/>
        </w:rPr>
      </w:pPr>
      <w:bookmarkStart w:id="79" w:name="_Toc15627"/>
      <w:bookmarkStart w:id="80" w:name="_Toc13502"/>
      <w:bookmarkStart w:id="81" w:name="_Toc334432597"/>
      <w:bookmarkStart w:id="82" w:name="_Toc13130"/>
      <w:r>
        <w:rPr>
          <w:rFonts w:hint="eastAsia" w:ascii="宋体" w:hAnsi="宋体"/>
          <w:color w:val="auto"/>
          <w:sz w:val="24"/>
          <w:szCs w:val="24"/>
          <w:highlight w:val="none"/>
          <w:lang w:val="en-GB"/>
        </w:rPr>
        <w:br w:type="page"/>
      </w:r>
    </w:p>
    <w:p>
      <w:pPr>
        <w:pStyle w:val="2"/>
        <w:rPr>
          <w:rFonts w:hint="eastAsia"/>
          <w:color w:val="auto"/>
          <w:highlight w:val="none"/>
          <w:lang w:val="en-GB"/>
        </w:rPr>
      </w:pPr>
    </w:p>
    <w:p>
      <w:pPr>
        <w:spacing w:after="120" w:afterLines="50" w:line="360" w:lineRule="auto"/>
        <w:jc w:val="center"/>
        <w:outlineLvl w:val="0"/>
        <w:rPr>
          <w:rFonts w:hint="eastAsia" w:ascii="宋体" w:hAnsi="宋体" w:eastAsia="宋体" w:cs="Times New Roman"/>
          <w:b/>
          <w:color w:val="auto"/>
          <w:kern w:val="2"/>
          <w:sz w:val="36"/>
          <w:szCs w:val="36"/>
          <w:highlight w:val="none"/>
          <w:lang w:val="en-US" w:eastAsia="zh-CN" w:bidi="ar-SA"/>
        </w:rPr>
      </w:pPr>
      <w:bookmarkStart w:id="83" w:name="_Toc27266"/>
      <w:r>
        <w:rPr>
          <w:rFonts w:hint="eastAsia" w:ascii="宋体" w:hAnsi="宋体" w:eastAsia="宋体" w:cs="Times New Roman"/>
          <w:b/>
          <w:color w:val="auto"/>
          <w:kern w:val="2"/>
          <w:sz w:val="36"/>
          <w:szCs w:val="36"/>
          <w:highlight w:val="none"/>
          <w:lang w:val="en-US" w:eastAsia="zh-CN" w:bidi="ar-SA"/>
        </w:rPr>
        <w:t>第五部分资格审查文件格式</w:t>
      </w:r>
      <w:bookmarkEnd w:id="79"/>
      <w:bookmarkEnd w:id="80"/>
      <w:bookmarkEnd w:id="81"/>
      <w:bookmarkEnd w:id="82"/>
      <w:bookmarkEnd w:id="83"/>
    </w:p>
    <w:p>
      <w:pPr>
        <w:widowControl/>
        <w:jc w:val="left"/>
        <w:rPr>
          <w:color w:val="auto"/>
          <w:highlight w:val="none"/>
        </w:rPr>
      </w:pPr>
    </w:p>
    <w:p>
      <w:pPr>
        <w:spacing w:line="360" w:lineRule="auto"/>
        <w:jc w:val="center"/>
        <w:rPr>
          <w:b/>
          <w:color w:val="auto"/>
          <w:sz w:val="32"/>
          <w:szCs w:val="32"/>
          <w:highlight w:val="none"/>
        </w:rPr>
      </w:pPr>
      <w:r>
        <w:rPr>
          <w:rFonts w:hint="eastAsia"/>
          <w:b/>
          <w:color w:val="auto"/>
          <w:sz w:val="32"/>
          <w:szCs w:val="32"/>
          <w:highlight w:val="none"/>
          <w:lang w:eastAsia="zh-CN"/>
        </w:rPr>
        <w:t>资格审查</w:t>
      </w:r>
      <w:r>
        <w:rPr>
          <w:rFonts w:hint="eastAsia"/>
          <w:b/>
          <w:color w:val="auto"/>
          <w:sz w:val="32"/>
          <w:szCs w:val="32"/>
          <w:highlight w:val="none"/>
        </w:rPr>
        <w:t>文件封面及目录部分</w:t>
      </w:r>
    </w:p>
    <w:p>
      <w:pPr>
        <w:spacing w:line="312" w:lineRule="auto"/>
        <w:ind w:firstLine="275" w:firstLineChars="98"/>
        <w:rPr>
          <w:b/>
          <w:color w:val="auto"/>
          <w:sz w:val="28"/>
          <w:szCs w:val="28"/>
          <w:highlight w:val="none"/>
        </w:rPr>
      </w:pPr>
    </w:p>
    <w:p>
      <w:pPr>
        <w:numPr>
          <w:ilvl w:val="0"/>
          <w:numId w:val="45"/>
        </w:numPr>
        <w:tabs>
          <w:tab w:val="left" w:pos="720"/>
        </w:tabs>
        <w:spacing w:line="480" w:lineRule="auto"/>
        <w:ind w:left="720" w:leftChars="0" w:hanging="540" w:firstLineChars="0"/>
        <w:rPr>
          <w:b/>
          <w:color w:val="auto"/>
          <w:sz w:val="28"/>
          <w:szCs w:val="28"/>
          <w:highlight w:val="none"/>
        </w:rPr>
      </w:pPr>
      <w:r>
        <w:rPr>
          <w:rFonts w:hint="eastAsia"/>
          <w:b/>
          <w:color w:val="auto"/>
          <w:sz w:val="28"/>
          <w:szCs w:val="28"/>
          <w:highlight w:val="none"/>
          <w:lang w:eastAsia="zh-CN"/>
        </w:rPr>
        <w:t>投标人</w:t>
      </w:r>
      <w:r>
        <w:rPr>
          <w:rFonts w:hint="eastAsia"/>
          <w:b/>
          <w:color w:val="auto"/>
          <w:sz w:val="28"/>
          <w:szCs w:val="28"/>
          <w:highlight w:val="none"/>
        </w:rPr>
        <w:t>应按本《</w:t>
      </w:r>
      <w:r>
        <w:rPr>
          <w:rFonts w:hint="eastAsia"/>
          <w:b/>
          <w:color w:val="auto"/>
          <w:sz w:val="28"/>
          <w:szCs w:val="28"/>
          <w:highlight w:val="none"/>
          <w:lang w:eastAsia="zh-CN"/>
        </w:rPr>
        <w:t>竞投文件</w:t>
      </w:r>
      <w:r>
        <w:rPr>
          <w:rFonts w:hint="eastAsia"/>
          <w:b/>
          <w:color w:val="auto"/>
          <w:sz w:val="28"/>
          <w:szCs w:val="28"/>
          <w:highlight w:val="none"/>
        </w:rPr>
        <w:t>》要求，自行设计和编制</w:t>
      </w:r>
      <w:r>
        <w:rPr>
          <w:rFonts w:hint="eastAsia"/>
          <w:b/>
          <w:color w:val="auto"/>
          <w:sz w:val="28"/>
          <w:szCs w:val="28"/>
          <w:highlight w:val="none"/>
          <w:lang w:eastAsia="zh-CN"/>
        </w:rPr>
        <w:t>资格审查</w:t>
      </w:r>
      <w:r>
        <w:rPr>
          <w:rFonts w:hint="eastAsia"/>
          <w:b/>
          <w:color w:val="auto"/>
          <w:sz w:val="28"/>
          <w:szCs w:val="28"/>
          <w:highlight w:val="none"/>
        </w:rPr>
        <w:t>文件的封面和目录部分。</w:t>
      </w:r>
    </w:p>
    <w:p>
      <w:pPr>
        <w:numPr>
          <w:ilvl w:val="0"/>
          <w:numId w:val="45"/>
        </w:numPr>
        <w:tabs>
          <w:tab w:val="left" w:pos="720"/>
        </w:tabs>
        <w:spacing w:line="480" w:lineRule="auto"/>
        <w:ind w:left="720" w:leftChars="0" w:hanging="540" w:firstLineChars="0"/>
        <w:rPr>
          <w:b/>
          <w:color w:val="auto"/>
          <w:sz w:val="28"/>
          <w:szCs w:val="28"/>
          <w:highlight w:val="none"/>
        </w:rPr>
      </w:pPr>
      <w:r>
        <w:rPr>
          <w:rFonts w:hint="eastAsia"/>
          <w:b/>
          <w:color w:val="auto"/>
          <w:sz w:val="28"/>
          <w:szCs w:val="28"/>
          <w:highlight w:val="none"/>
          <w:lang w:eastAsia="zh-CN"/>
        </w:rPr>
        <w:t>资格审查</w:t>
      </w:r>
      <w:r>
        <w:rPr>
          <w:rFonts w:hint="eastAsia"/>
          <w:b/>
          <w:color w:val="auto"/>
          <w:sz w:val="28"/>
          <w:szCs w:val="28"/>
          <w:highlight w:val="none"/>
        </w:rPr>
        <w:t>文件封面上须包含但不限于以下内容：</w:t>
      </w:r>
    </w:p>
    <w:p>
      <w:pPr>
        <w:numPr>
          <w:ilvl w:val="0"/>
          <w:numId w:val="46"/>
        </w:numPr>
        <w:tabs>
          <w:tab w:val="left" w:pos="1440"/>
        </w:tabs>
        <w:spacing w:line="480" w:lineRule="auto"/>
        <w:ind w:left="454" w:leftChars="0" w:hanging="34" w:firstLineChars="0"/>
        <w:rPr>
          <w:rFonts w:ascii="宋体"/>
          <w:color w:val="auto"/>
          <w:sz w:val="24"/>
          <w:highlight w:val="none"/>
          <w:lang w:val="en-GB"/>
        </w:rPr>
      </w:pPr>
      <w:r>
        <w:rPr>
          <w:rFonts w:hint="eastAsia" w:ascii="宋体" w:hAnsi="宋体"/>
          <w:color w:val="auto"/>
          <w:sz w:val="24"/>
          <w:highlight w:val="none"/>
          <w:lang w:val="en-GB"/>
        </w:rPr>
        <w:t>项目名称；</w:t>
      </w:r>
    </w:p>
    <w:p>
      <w:pPr>
        <w:numPr>
          <w:ilvl w:val="0"/>
          <w:numId w:val="46"/>
        </w:numPr>
        <w:tabs>
          <w:tab w:val="left" w:pos="1440"/>
        </w:tabs>
        <w:spacing w:line="480" w:lineRule="auto"/>
        <w:ind w:left="454" w:leftChars="0" w:hanging="34" w:firstLineChars="0"/>
        <w:rPr>
          <w:rFonts w:ascii="宋体"/>
          <w:color w:val="auto"/>
          <w:sz w:val="24"/>
          <w:highlight w:val="none"/>
          <w:lang w:val="en-GB"/>
        </w:rPr>
      </w:pPr>
      <w:r>
        <w:rPr>
          <w:rFonts w:hint="eastAsia" w:ascii="宋体" w:hAnsi="宋体"/>
          <w:color w:val="auto"/>
          <w:sz w:val="24"/>
          <w:highlight w:val="none"/>
          <w:lang w:val="en-GB" w:eastAsia="zh-CN"/>
        </w:rPr>
        <w:t>投标人</w:t>
      </w:r>
      <w:r>
        <w:rPr>
          <w:rFonts w:hint="eastAsia" w:ascii="宋体" w:hAnsi="宋体"/>
          <w:color w:val="auto"/>
          <w:sz w:val="24"/>
          <w:highlight w:val="none"/>
          <w:lang w:val="en-GB"/>
        </w:rPr>
        <w:t>名称；</w:t>
      </w:r>
    </w:p>
    <w:p>
      <w:pPr>
        <w:numPr>
          <w:ilvl w:val="0"/>
          <w:numId w:val="46"/>
        </w:numPr>
        <w:tabs>
          <w:tab w:val="left" w:pos="1440"/>
        </w:tabs>
        <w:spacing w:line="480" w:lineRule="auto"/>
        <w:ind w:left="454" w:leftChars="0" w:hanging="34" w:firstLineChars="0"/>
        <w:rPr>
          <w:rFonts w:ascii="宋体"/>
          <w:color w:val="auto"/>
          <w:sz w:val="24"/>
          <w:highlight w:val="none"/>
          <w:lang w:val="en-GB"/>
        </w:rPr>
      </w:pPr>
      <w:r>
        <w:rPr>
          <w:rFonts w:hint="eastAsia" w:ascii="宋体" w:hAnsi="宋体"/>
          <w:color w:val="auto"/>
          <w:sz w:val="24"/>
          <w:highlight w:val="none"/>
        </w:rPr>
        <w:t>法定代表人</w:t>
      </w:r>
      <w:r>
        <w:rPr>
          <w:rFonts w:ascii="宋体" w:hAnsi="宋体"/>
          <w:color w:val="auto"/>
          <w:sz w:val="24"/>
          <w:highlight w:val="none"/>
        </w:rPr>
        <w:t>/</w:t>
      </w:r>
      <w:r>
        <w:rPr>
          <w:rFonts w:hint="eastAsia" w:ascii="宋体" w:hAnsi="宋体"/>
          <w:color w:val="auto"/>
          <w:sz w:val="24"/>
          <w:highlight w:val="none"/>
        </w:rPr>
        <w:t>负责人或</w:t>
      </w:r>
      <w:r>
        <w:rPr>
          <w:rFonts w:hint="eastAsia" w:ascii="宋体" w:hAnsi="宋体"/>
          <w:color w:val="auto"/>
          <w:sz w:val="24"/>
          <w:highlight w:val="none"/>
          <w:lang w:val="en-GB"/>
        </w:rPr>
        <w:t>授权代表姓名及联系电话（含传真号码）；</w:t>
      </w:r>
    </w:p>
    <w:p>
      <w:pPr>
        <w:numPr>
          <w:ilvl w:val="0"/>
          <w:numId w:val="46"/>
        </w:numPr>
        <w:tabs>
          <w:tab w:val="left" w:pos="1440"/>
        </w:tabs>
        <w:spacing w:line="480" w:lineRule="auto"/>
        <w:ind w:left="454" w:leftChars="0" w:hanging="34" w:firstLineChars="0"/>
        <w:rPr>
          <w:rFonts w:ascii="宋体"/>
          <w:color w:val="auto"/>
          <w:sz w:val="24"/>
          <w:highlight w:val="none"/>
          <w:lang w:val="en-GB"/>
        </w:rPr>
      </w:pPr>
      <w:r>
        <w:rPr>
          <w:rFonts w:hint="eastAsia" w:ascii="宋体" w:hAnsi="宋体"/>
          <w:color w:val="auto"/>
          <w:sz w:val="24"/>
          <w:highlight w:val="none"/>
          <w:lang w:val="en-GB"/>
        </w:rPr>
        <w:t>注明“正本”或“副本”字样。</w:t>
      </w:r>
    </w:p>
    <w:p>
      <w:pPr>
        <w:numPr>
          <w:ilvl w:val="0"/>
          <w:numId w:val="45"/>
        </w:numPr>
        <w:tabs>
          <w:tab w:val="left" w:pos="720"/>
        </w:tabs>
        <w:spacing w:line="480" w:lineRule="auto"/>
        <w:ind w:left="720" w:leftChars="0" w:hanging="540" w:firstLineChars="0"/>
        <w:rPr>
          <w:color w:val="auto"/>
          <w:highlight w:val="none"/>
        </w:rPr>
      </w:pPr>
      <w:r>
        <w:rPr>
          <w:rFonts w:hint="eastAsia"/>
          <w:b/>
          <w:color w:val="auto"/>
          <w:sz w:val="28"/>
          <w:szCs w:val="28"/>
          <w:highlight w:val="none"/>
          <w:lang w:eastAsia="zh-CN"/>
        </w:rPr>
        <w:t>资格审查</w:t>
      </w:r>
      <w:r>
        <w:rPr>
          <w:rFonts w:hint="eastAsia"/>
          <w:b/>
          <w:color w:val="auto"/>
          <w:sz w:val="28"/>
          <w:szCs w:val="28"/>
          <w:highlight w:val="none"/>
        </w:rPr>
        <w:t>文件必须编制目录，且目录必须清晰、准确，与</w:t>
      </w:r>
      <w:r>
        <w:rPr>
          <w:rFonts w:hint="eastAsia"/>
          <w:b/>
          <w:color w:val="auto"/>
          <w:sz w:val="28"/>
          <w:szCs w:val="28"/>
          <w:highlight w:val="none"/>
          <w:lang w:eastAsia="zh-CN"/>
        </w:rPr>
        <w:t>资格审查</w:t>
      </w:r>
      <w:r>
        <w:rPr>
          <w:rFonts w:hint="eastAsia"/>
          <w:b/>
          <w:color w:val="auto"/>
          <w:sz w:val="28"/>
          <w:szCs w:val="28"/>
          <w:highlight w:val="none"/>
        </w:rPr>
        <w:t>文件中的每页所加注的页码相对应。</w:t>
      </w:r>
    </w:p>
    <w:p>
      <w:pPr>
        <w:numPr>
          <w:ilvl w:val="0"/>
          <w:numId w:val="45"/>
        </w:numPr>
        <w:tabs>
          <w:tab w:val="left" w:pos="720"/>
        </w:tabs>
        <w:spacing w:line="480" w:lineRule="auto"/>
        <w:ind w:left="720" w:leftChars="0" w:hanging="540" w:firstLineChars="0"/>
        <w:rPr>
          <w:b/>
          <w:color w:val="auto"/>
          <w:sz w:val="28"/>
          <w:szCs w:val="28"/>
          <w:highlight w:val="none"/>
        </w:rPr>
      </w:pPr>
      <w:r>
        <w:rPr>
          <w:rFonts w:hint="eastAsia"/>
          <w:b/>
          <w:color w:val="auto"/>
          <w:sz w:val="28"/>
          <w:szCs w:val="28"/>
          <w:highlight w:val="none"/>
          <w:lang w:eastAsia="zh-CN"/>
        </w:rPr>
        <w:t>资格审查</w:t>
      </w:r>
      <w:r>
        <w:rPr>
          <w:rFonts w:hint="eastAsia"/>
          <w:b/>
          <w:color w:val="auto"/>
          <w:sz w:val="28"/>
          <w:szCs w:val="28"/>
          <w:highlight w:val="none"/>
        </w:rPr>
        <w:t>文件【正本】和【副本】的封面须加盖</w:t>
      </w:r>
      <w:r>
        <w:rPr>
          <w:rFonts w:hint="eastAsia"/>
          <w:b/>
          <w:color w:val="auto"/>
          <w:sz w:val="28"/>
          <w:szCs w:val="28"/>
          <w:highlight w:val="none"/>
          <w:lang w:eastAsia="zh-CN"/>
        </w:rPr>
        <w:t>投标人</w:t>
      </w:r>
      <w:r>
        <w:rPr>
          <w:rFonts w:hint="eastAsia"/>
          <w:b/>
          <w:color w:val="auto"/>
          <w:sz w:val="28"/>
          <w:szCs w:val="28"/>
          <w:highlight w:val="none"/>
        </w:rPr>
        <w:t>公章。</w:t>
      </w:r>
    </w:p>
    <w:p>
      <w:pPr>
        <w:spacing w:line="480" w:lineRule="auto"/>
        <w:ind w:left="180"/>
        <w:rPr>
          <w:color w:val="auto"/>
          <w:highlight w:val="none"/>
        </w:rPr>
      </w:pPr>
    </w:p>
    <w:p>
      <w:pPr>
        <w:spacing w:line="312" w:lineRule="auto"/>
        <w:ind w:firstLine="600" w:firstLineChars="250"/>
        <w:rPr>
          <w:color w:val="auto"/>
          <w:sz w:val="24"/>
          <w:highlight w:val="none"/>
        </w:rPr>
      </w:pPr>
    </w:p>
    <w:p>
      <w:pPr>
        <w:spacing w:line="312" w:lineRule="auto"/>
        <w:ind w:firstLine="600" w:firstLineChars="250"/>
        <w:rPr>
          <w:color w:val="auto"/>
          <w:sz w:val="24"/>
          <w:highlight w:val="none"/>
        </w:rPr>
      </w:pPr>
    </w:p>
    <w:p>
      <w:pPr>
        <w:spacing w:line="360" w:lineRule="auto"/>
        <w:ind w:left="551" w:hanging="551" w:hangingChars="196"/>
        <w:rPr>
          <w:rFonts w:ascii="宋体"/>
          <w:b/>
          <w:bCs/>
          <w:color w:val="auto"/>
          <w:sz w:val="28"/>
          <w:szCs w:val="28"/>
          <w:highlight w:val="none"/>
        </w:rPr>
      </w:pPr>
      <w:r>
        <w:rPr>
          <w:rFonts w:hint="eastAsia" w:ascii="宋体" w:hAnsi="宋体"/>
          <w:b/>
          <w:bCs/>
          <w:color w:val="auto"/>
          <w:sz w:val="28"/>
          <w:szCs w:val="28"/>
          <w:highlight w:val="none"/>
        </w:rPr>
        <w:t>注：</w:t>
      </w:r>
      <w:r>
        <w:rPr>
          <w:rFonts w:hint="eastAsia" w:ascii="宋体" w:hAnsi="宋体"/>
          <w:b/>
          <w:bCs/>
          <w:color w:val="auto"/>
          <w:sz w:val="28"/>
          <w:szCs w:val="28"/>
          <w:highlight w:val="none"/>
          <w:lang w:eastAsia="zh-CN"/>
        </w:rPr>
        <w:t>投标人</w:t>
      </w:r>
      <w:r>
        <w:rPr>
          <w:rFonts w:hint="eastAsia" w:ascii="宋体" w:hAnsi="宋体"/>
          <w:b/>
          <w:bCs/>
          <w:color w:val="auto"/>
          <w:sz w:val="28"/>
          <w:szCs w:val="28"/>
          <w:highlight w:val="none"/>
        </w:rPr>
        <w:t>应按本部分的格式内容进行排版和编制《</w:t>
      </w:r>
      <w:r>
        <w:rPr>
          <w:rFonts w:hint="eastAsia" w:ascii="宋体" w:hAnsi="宋体"/>
          <w:b/>
          <w:bCs/>
          <w:color w:val="auto"/>
          <w:sz w:val="28"/>
          <w:szCs w:val="28"/>
          <w:highlight w:val="none"/>
          <w:lang w:eastAsia="zh-CN"/>
        </w:rPr>
        <w:t>资格审查</w:t>
      </w:r>
      <w:r>
        <w:rPr>
          <w:rFonts w:hint="eastAsia" w:ascii="宋体" w:hAnsi="宋体"/>
          <w:b/>
          <w:bCs/>
          <w:color w:val="auto"/>
          <w:sz w:val="28"/>
          <w:szCs w:val="28"/>
          <w:highlight w:val="none"/>
        </w:rPr>
        <w:t>文件》，如属于格式外的，或本部分未提供具体格式的，</w:t>
      </w:r>
      <w:r>
        <w:rPr>
          <w:rFonts w:hint="eastAsia" w:ascii="宋体" w:hAnsi="宋体"/>
          <w:b/>
          <w:bCs/>
          <w:color w:val="auto"/>
          <w:sz w:val="28"/>
          <w:szCs w:val="28"/>
          <w:highlight w:val="none"/>
          <w:lang w:eastAsia="zh-CN"/>
        </w:rPr>
        <w:t>投标人</w:t>
      </w:r>
      <w:r>
        <w:rPr>
          <w:rFonts w:hint="eastAsia" w:ascii="宋体" w:hAnsi="宋体"/>
          <w:b/>
          <w:bCs/>
          <w:color w:val="auto"/>
          <w:sz w:val="28"/>
          <w:szCs w:val="28"/>
          <w:highlight w:val="none"/>
        </w:rPr>
        <w:t>可根据</w:t>
      </w:r>
      <w:r>
        <w:rPr>
          <w:rFonts w:hint="eastAsia" w:ascii="宋体" w:hAnsi="宋体"/>
          <w:b/>
          <w:bCs/>
          <w:color w:val="auto"/>
          <w:sz w:val="28"/>
          <w:szCs w:val="28"/>
          <w:highlight w:val="none"/>
          <w:lang w:eastAsia="zh-CN"/>
        </w:rPr>
        <w:t>竞投</w:t>
      </w:r>
      <w:r>
        <w:rPr>
          <w:rFonts w:hint="eastAsia" w:ascii="宋体" w:hAnsi="宋体"/>
          <w:b/>
          <w:bCs/>
          <w:color w:val="auto"/>
          <w:sz w:val="28"/>
          <w:szCs w:val="28"/>
          <w:highlight w:val="none"/>
        </w:rPr>
        <w:t>方案或内容，针对评审子项要求，自行拟定具体格式和设计排版。</w:t>
      </w:r>
    </w:p>
    <w:p>
      <w:pPr>
        <w:spacing w:line="360" w:lineRule="auto"/>
        <w:ind w:left="551" w:hanging="551" w:hangingChars="196"/>
        <w:jc w:val="center"/>
        <w:outlineLvl w:val="1"/>
        <w:rPr>
          <w:rFonts w:ascii="宋体"/>
          <w:b/>
          <w:color w:val="auto"/>
          <w:sz w:val="36"/>
          <w:szCs w:val="36"/>
          <w:highlight w:val="none"/>
        </w:rPr>
      </w:pPr>
      <w:r>
        <w:rPr>
          <w:rFonts w:ascii="宋体"/>
          <w:b/>
          <w:bCs/>
          <w:color w:val="auto"/>
          <w:sz w:val="28"/>
          <w:szCs w:val="28"/>
          <w:highlight w:val="none"/>
        </w:rPr>
        <w:br w:type="page"/>
      </w:r>
      <w:bookmarkStart w:id="84" w:name="_Toc24041"/>
      <w:bookmarkStart w:id="85" w:name="_Toc28252"/>
      <w:bookmarkStart w:id="86" w:name="_Toc29336"/>
      <w:bookmarkStart w:id="87" w:name="_Toc31603"/>
      <w:bookmarkStart w:id="88" w:name="_Toc30381"/>
      <w:bookmarkStart w:id="89" w:name="_Toc10343"/>
      <w:bookmarkStart w:id="90" w:name="_Toc334432598"/>
      <w:bookmarkStart w:id="91" w:name="_Toc1019"/>
      <w:r>
        <w:rPr>
          <w:rFonts w:hint="eastAsia" w:ascii="宋体" w:hAnsi="宋体"/>
          <w:b/>
          <w:bCs/>
          <w:color w:val="auto"/>
          <w:sz w:val="36"/>
          <w:szCs w:val="36"/>
          <w:highlight w:val="none"/>
        </w:rPr>
        <w:t>资格性文件</w:t>
      </w:r>
      <w:bookmarkEnd w:id="84"/>
      <w:bookmarkEnd w:id="85"/>
      <w:bookmarkEnd w:id="86"/>
      <w:bookmarkEnd w:id="87"/>
      <w:bookmarkEnd w:id="88"/>
      <w:bookmarkEnd w:id="89"/>
      <w:bookmarkEnd w:id="90"/>
      <w:bookmarkEnd w:id="91"/>
      <w:bookmarkStart w:id="92" w:name="OLE_LINK1"/>
    </w:p>
    <w:p>
      <w:pPr>
        <w:snapToGrid w:val="0"/>
        <w:spacing w:line="300" w:lineRule="auto"/>
        <w:jc w:val="center"/>
        <w:rPr>
          <w:rFonts w:ascii="宋体"/>
          <w:b/>
          <w:color w:val="auto"/>
          <w:sz w:val="32"/>
          <w:szCs w:val="32"/>
          <w:highlight w:val="none"/>
        </w:rPr>
      </w:pPr>
      <w:r>
        <w:rPr>
          <w:rFonts w:hint="eastAsia" w:ascii="宋体" w:hAnsi="宋体"/>
          <w:b/>
          <w:color w:val="auto"/>
          <w:sz w:val="32"/>
          <w:szCs w:val="32"/>
          <w:highlight w:val="none"/>
        </w:rPr>
        <w:t>资格性文件清单</w:t>
      </w:r>
    </w:p>
    <w:tbl>
      <w:tblPr>
        <w:tblStyle w:val="19"/>
        <w:tblW w:w="9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04"/>
        <w:gridCol w:w="4898"/>
        <w:gridCol w:w="871"/>
        <w:gridCol w:w="1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9" w:hRule="atLeast"/>
          <w:jc w:val="center"/>
        </w:trPr>
        <w:tc>
          <w:tcPr>
            <w:tcW w:w="675" w:type="dxa"/>
            <w:shd w:val="clear" w:color="auto" w:fill="F3F3F3"/>
            <w:noWrap w:val="0"/>
            <w:vAlign w:val="center"/>
          </w:tcPr>
          <w:p>
            <w:pPr>
              <w:ind w:left="-10" w:leftChars="-40" w:right="-99" w:rightChars="-47" w:hanging="74" w:hangingChars="35"/>
              <w:jc w:val="center"/>
              <w:rPr>
                <w:rFonts w:ascii="宋体"/>
                <w:b/>
                <w:bCs/>
                <w:color w:val="auto"/>
                <w:szCs w:val="21"/>
                <w:highlight w:val="none"/>
              </w:rPr>
            </w:pPr>
            <w:r>
              <w:rPr>
                <w:rFonts w:hint="eastAsia" w:ascii="宋体" w:hAnsi="宋体"/>
                <w:b/>
                <w:bCs/>
                <w:color w:val="auto"/>
                <w:szCs w:val="21"/>
                <w:highlight w:val="none"/>
              </w:rPr>
              <w:t>序号</w:t>
            </w:r>
          </w:p>
        </w:tc>
        <w:tc>
          <w:tcPr>
            <w:tcW w:w="2204" w:type="dxa"/>
            <w:tcBorders>
              <w:right w:val="single" w:color="auto" w:sz="4" w:space="0"/>
            </w:tcBorders>
            <w:shd w:val="clear" w:color="auto" w:fill="F3F3F3"/>
            <w:noWrap w:val="0"/>
            <w:vAlign w:val="center"/>
          </w:tcPr>
          <w:p>
            <w:pPr>
              <w:pStyle w:val="26"/>
              <w:keepNext w:val="0"/>
              <w:adjustRightInd/>
              <w:spacing w:before="0" w:after="0" w:line="240" w:lineRule="auto"/>
              <w:ind w:firstLine="422"/>
              <w:textAlignment w:val="auto"/>
              <w:rPr>
                <w:rFonts w:ascii="宋体"/>
                <w:b/>
                <w:bCs/>
                <w:color w:val="auto"/>
                <w:spacing w:val="0"/>
                <w:kern w:val="2"/>
                <w:sz w:val="21"/>
                <w:szCs w:val="21"/>
                <w:highlight w:val="none"/>
              </w:rPr>
            </w:pPr>
            <w:r>
              <w:rPr>
                <w:rFonts w:hint="eastAsia" w:ascii="宋体" w:hAnsi="宋体"/>
                <w:b/>
                <w:bCs/>
                <w:color w:val="auto"/>
                <w:spacing w:val="0"/>
                <w:kern w:val="2"/>
                <w:sz w:val="21"/>
                <w:szCs w:val="21"/>
                <w:highlight w:val="none"/>
              </w:rPr>
              <w:t>文件名称</w:t>
            </w:r>
          </w:p>
        </w:tc>
        <w:tc>
          <w:tcPr>
            <w:tcW w:w="4898" w:type="dxa"/>
            <w:tcBorders>
              <w:left w:val="single" w:color="auto" w:sz="4" w:space="0"/>
            </w:tcBorders>
            <w:shd w:val="clear" w:color="auto" w:fill="F3F3F3"/>
            <w:noWrap w:val="0"/>
            <w:vAlign w:val="center"/>
          </w:tcPr>
          <w:p>
            <w:pPr>
              <w:pStyle w:val="26"/>
              <w:keepNext w:val="0"/>
              <w:adjustRightInd/>
              <w:spacing w:before="0" w:after="0" w:line="240" w:lineRule="auto"/>
              <w:ind w:firstLine="422"/>
              <w:textAlignment w:val="auto"/>
              <w:rPr>
                <w:rFonts w:ascii="宋体"/>
                <w:b/>
                <w:bCs/>
                <w:color w:val="auto"/>
                <w:spacing w:val="0"/>
                <w:kern w:val="2"/>
                <w:sz w:val="21"/>
                <w:szCs w:val="21"/>
                <w:highlight w:val="none"/>
              </w:rPr>
            </w:pPr>
            <w:r>
              <w:rPr>
                <w:rFonts w:hint="eastAsia" w:ascii="宋体" w:hAnsi="宋体"/>
                <w:b/>
                <w:bCs/>
                <w:color w:val="auto"/>
                <w:spacing w:val="0"/>
                <w:kern w:val="2"/>
                <w:sz w:val="21"/>
                <w:szCs w:val="21"/>
                <w:highlight w:val="none"/>
              </w:rPr>
              <w:t>文件内容要求</w:t>
            </w:r>
          </w:p>
        </w:tc>
        <w:tc>
          <w:tcPr>
            <w:tcW w:w="871" w:type="dxa"/>
            <w:shd w:val="clear" w:color="auto" w:fill="F3F3F3"/>
            <w:noWrap w:val="0"/>
            <w:vAlign w:val="center"/>
          </w:tcPr>
          <w:p>
            <w:pPr>
              <w:jc w:val="center"/>
              <w:rPr>
                <w:rFonts w:ascii="宋体"/>
                <w:b/>
                <w:bCs/>
                <w:color w:val="auto"/>
                <w:szCs w:val="21"/>
                <w:highlight w:val="none"/>
              </w:rPr>
            </w:pPr>
            <w:r>
              <w:rPr>
                <w:rFonts w:hint="eastAsia" w:ascii="宋体" w:hAnsi="宋体"/>
                <w:b/>
                <w:bCs/>
                <w:color w:val="auto"/>
                <w:szCs w:val="21"/>
                <w:highlight w:val="none"/>
              </w:rPr>
              <w:t>数量</w:t>
            </w:r>
          </w:p>
        </w:tc>
        <w:tc>
          <w:tcPr>
            <w:tcW w:w="1147" w:type="dxa"/>
            <w:shd w:val="clear" w:color="auto" w:fill="F3F3F3"/>
            <w:noWrap w:val="0"/>
            <w:vAlign w:val="center"/>
          </w:tcPr>
          <w:p>
            <w:pPr>
              <w:jc w:val="center"/>
              <w:rPr>
                <w:rFonts w:ascii="宋体"/>
                <w:b/>
                <w:bCs/>
                <w:color w:val="auto"/>
                <w:szCs w:val="21"/>
                <w:highlight w:val="none"/>
              </w:rPr>
            </w:pPr>
            <w:r>
              <w:rPr>
                <w:rFonts w:hint="eastAsia" w:ascii="宋体" w:hAnsi="宋体"/>
                <w:b/>
                <w:bCs/>
                <w:color w:val="auto"/>
                <w:szCs w:val="21"/>
                <w:highlight w:val="none"/>
              </w:rPr>
              <w:t>文件属性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jc w:val="center"/>
        </w:trPr>
        <w:tc>
          <w:tcPr>
            <w:tcW w:w="675" w:type="dxa"/>
            <w:noWrap w:val="0"/>
            <w:vAlign w:val="center"/>
          </w:tcPr>
          <w:p>
            <w:pPr>
              <w:rPr>
                <w:rFonts w:ascii="宋体"/>
                <w:color w:val="auto"/>
                <w:szCs w:val="21"/>
                <w:highlight w:val="none"/>
              </w:rPr>
            </w:pPr>
            <w:r>
              <w:rPr>
                <w:rFonts w:ascii="宋体" w:hAnsi="宋体"/>
                <w:color w:val="auto"/>
                <w:szCs w:val="21"/>
                <w:highlight w:val="none"/>
              </w:rPr>
              <w:t>1.1</w:t>
            </w:r>
          </w:p>
        </w:tc>
        <w:tc>
          <w:tcPr>
            <w:tcW w:w="2204" w:type="dxa"/>
            <w:tcBorders>
              <w:right w:val="single" w:color="auto" w:sz="4" w:space="0"/>
            </w:tcBorders>
            <w:noWrap w:val="0"/>
            <w:vAlign w:val="center"/>
          </w:tcPr>
          <w:p>
            <w:pPr>
              <w:jc w:val="center"/>
              <w:rPr>
                <w:rFonts w:ascii="宋体"/>
                <w:color w:val="auto"/>
                <w:sz w:val="24"/>
                <w:szCs w:val="24"/>
                <w:highlight w:val="none"/>
              </w:rPr>
            </w:pPr>
            <w:r>
              <w:rPr>
                <w:rFonts w:hint="eastAsia" w:ascii="宋体" w:hAnsi="宋体"/>
                <w:color w:val="auto"/>
                <w:sz w:val="24"/>
                <w:szCs w:val="24"/>
                <w:highlight w:val="none"/>
              </w:rPr>
              <w:t>法定代表人</w:t>
            </w:r>
            <w:r>
              <w:rPr>
                <w:rFonts w:ascii="宋体" w:hAnsi="宋体"/>
                <w:color w:val="auto"/>
                <w:sz w:val="24"/>
                <w:szCs w:val="24"/>
                <w:highlight w:val="none"/>
              </w:rPr>
              <w:t>/</w:t>
            </w:r>
            <w:r>
              <w:rPr>
                <w:rFonts w:hint="eastAsia" w:ascii="宋体" w:hAnsi="宋体"/>
                <w:color w:val="auto"/>
                <w:sz w:val="24"/>
                <w:szCs w:val="24"/>
                <w:highlight w:val="none"/>
              </w:rPr>
              <w:t>负责人资格证明书</w:t>
            </w:r>
          </w:p>
        </w:tc>
        <w:tc>
          <w:tcPr>
            <w:tcW w:w="4898" w:type="dxa"/>
            <w:tcBorders>
              <w:left w:val="single" w:color="auto" w:sz="4" w:space="0"/>
            </w:tcBorders>
            <w:noWrap w:val="0"/>
            <w:vAlign w:val="center"/>
          </w:tcPr>
          <w:p>
            <w:pPr>
              <w:jc w:val="center"/>
              <w:rPr>
                <w:rFonts w:ascii="宋体"/>
                <w:color w:val="auto"/>
                <w:sz w:val="24"/>
                <w:szCs w:val="24"/>
                <w:highlight w:val="none"/>
              </w:rPr>
            </w:pPr>
            <w:r>
              <w:rPr>
                <w:rFonts w:hint="eastAsia" w:ascii="宋体" w:hAnsi="宋体"/>
                <w:color w:val="auto"/>
                <w:sz w:val="24"/>
                <w:szCs w:val="24"/>
                <w:highlight w:val="none"/>
              </w:rPr>
              <w:t>按对应格式文件签署、盖章</w:t>
            </w:r>
          </w:p>
        </w:tc>
        <w:tc>
          <w:tcPr>
            <w:tcW w:w="871" w:type="dxa"/>
            <w:noWrap w:val="0"/>
            <w:vAlign w:val="center"/>
          </w:tcPr>
          <w:p>
            <w:pPr>
              <w:jc w:val="center"/>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份</w:t>
            </w:r>
          </w:p>
        </w:tc>
        <w:tc>
          <w:tcPr>
            <w:tcW w:w="1147" w:type="dxa"/>
            <w:noWrap w:val="0"/>
            <w:vAlign w:val="center"/>
          </w:tcPr>
          <w:p>
            <w:pPr>
              <w:jc w:val="center"/>
              <w:rPr>
                <w:rFonts w:ascii="宋体"/>
                <w:color w:val="auto"/>
                <w:sz w:val="24"/>
                <w:szCs w:val="24"/>
                <w:highlight w:val="none"/>
              </w:rPr>
            </w:pPr>
            <w:r>
              <w:rPr>
                <w:rFonts w:hint="eastAsia" w:ascii="宋体" w:hAnsi="宋体"/>
                <w:color w:val="auto"/>
                <w:sz w:val="24"/>
                <w:szCs w:val="24"/>
                <w:highlight w:val="none"/>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675" w:type="dxa"/>
            <w:noWrap w:val="0"/>
            <w:vAlign w:val="center"/>
          </w:tcPr>
          <w:p>
            <w:pPr>
              <w:rPr>
                <w:rFonts w:ascii="宋体"/>
                <w:color w:val="auto"/>
                <w:szCs w:val="21"/>
                <w:highlight w:val="none"/>
              </w:rPr>
            </w:pPr>
            <w:r>
              <w:rPr>
                <w:rFonts w:ascii="宋体" w:hAnsi="宋体"/>
                <w:color w:val="auto"/>
                <w:szCs w:val="21"/>
                <w:highlight w:val="none"/>
              </w:rPr>
              <w:t>1.2</w:t>
            </w:r>
          </w:p>
        </w:tc>
        <w:tc>
          <w:tcPr>
            <w:tcW w:w="2204" w:type="dxa"/>
            <w:tcBorders>
              <w:right w:val="single" w:color="auto" w:sz="4" w:space="0"/>
            </w:tcBorders>
            <w:noWrap w:val="0"/>
            <w:vAlign w:val="center"/>
          </w:tcPr>
          <w:p>
            <w:pPr>
              <w:jc w:val="center"/>
              <w:rPr>
                <w:rFonts w:ascii="宋体"/>
                <w:color w:val="auto"/>
                <w:sz w:val="24"/>
                <w:szCs w:val="24"/>
                <w:highlight w:val="none"/>
              </w:rPr>
            </w:pPr>
            <w:r>
              <w:rPr>
                <w:rFonts w:hint="eastAsia" w:ascii="宋体" w:hAnsi="宋体"/>
                <w:color w:val="auto"/>
                <w:sz w:val="24"/>
                <w:szCs w:val="24"/>
                <w:highlight w:val="none"/>
              </w:rPr>
              <w:t>法定代表人授权书</w:t>
            </w:r>
          </w:p>
        </w:tc>
        <w:tc>
          <w:tcPr>
            <w:tcW w:w="4898" w:type="dxa"/>
            <w:tcBorders>
              <w:left w:val="single" w:color="auto" w:sz="4" w:space="0"/>
            </w:tcBorders>
            <w:noWrap w:val="0"/>
            <w:vAlign w:val="center"/>
          </w:tcPr>
          <w:p>
            <w:pPr>
              <w:jc w:val="center"/>
              <w:rPr>
                <w:rFonts w:ascii="宋体"/>
                <w:color w:val="auto"/>
                <w:sz w:val="24"/>
                <w:szCs w:val="24"/>
                <w:highlight w:val="none"/>
              </w:rPr>
            </w:pPr>
            <w:r>
              <w:rPr>
                <w:rFonts w:hint="eastAsia" w:ascii="宋体" w:hAnsi="宋体"/>
                <w:color w:val="auto"/>
                <w:sz w:val="24"/>
                <w:szCs w:val="24"/>
                <w:highlight w:val="none"/>
              </w:rPr>
              <w:t>按对应格式文件签署、盖章</w:t>
            </w:r>
          </w:p>
        </w:tc>
        <w:tc>
          <w:tcPr>
            <w:tcW w:w="871" w:type="dxa"/>
            <w:noWrap w:val="0"/>
            <w:vAlign w:val="center"/>
          </w:tcPr>
          <w:p>
            <w:pPr>
              <w:jc w:val="center"/>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份</w:t>
            </w:r>
          </w:p>
        </w:tc>
        <w:tc>
          <w:tcPr>
            <w:tcW w:w="1147" w:type="dxa"/>
            <w:noWrap w:val="0"/>
            <w:vAlign w:val="center"/>
          </w:tcPr>
          <w:p>
            <w:pPr>
              <w:jc w:val="center"/>
              <w:rPr>
                <w:rFonts w:ascii="宋体"/>
                <w:color w:val="auto"/>
                <w:sz w:val="24"/>
                <w:szCs w:val="24"/>
                <w:highlight w:val="none"/>
              </w:rPr>
            </w:pPr>
            <w:r>
              <w:rPr>
                <w:rFonts w:hint="eastAsia" w:ascii="宋体" w:hAnsi="宋体"/>
                <w:color w:val="auto"/>
                <w:sz w:val="24"/>
                <w:szCs w:val="24"/>
                <w:highlight w:val="none"/>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675" w:type="dxa"/>
            <w:noWrap w:val="0"/>
            <w:vAlign w:val="center"/>
          </w:tcPr>
          <w:p>
            <w:pPr>
              <w:rPr>
                <w:rFonts w:ascii="宋体"/>
                <w:color w:val="auto"/>
                <w:szCs w:val="21"/>
                <w:highlight w:val="none"/>
              </w:rPr>
            </w:pPr>
            <w:r>
              <w:rPr>
                <w:rFonts w:ascii="宋体" w:hAnsi="宋体"/>
                <w:color w:val="auto"/>
                <w:szCs w:val="21"/>
                <w:highlight w:val="none"/>
              </w:rPr>
              <w:t>1.3</w:t>
            </w:r>
          </w:p>
        </w:tc>
        <w:tc>
          <w:tcPr>
            <w:tcW w:w="2204" w:type="dxa"/>
            <w:tcBorders>
              <w:right w:val="single" w:color="auto" w:sz="4" w:space="0"/>
            </w:tcBorders>
            <w:noWrap w:val="0"/>
            <w:vAlign w:val="center"/>
          </w:tcPr>
          <w:p>
            <w:pPr>
              <w:jc w:val="center"/>
              <w:rPr>
                <w:rFonts w:ascii="宋体"/>
                <w:color w:val="auto"/>
                <w:sz w:val="24"/>
                <w:szCs w:val="24"/>
                <w:highlight w:val="none"/>
              </w:rPr>
            </w:pPr>
            <w:r>
              <w:rPr>
                <w:rFonts w:hint="eastAsia" w:ascii="宋体" w:hAnsi="宋体"/>
                <w:color w:val="auto"/>
                <w:sz w:val="24"/>
                <w:szCs w:val="24"/>
                <w:highlight w:val="none"/>
                <w:lang w:eastAsia="zh-CN"/>
              </w:rPr>
              <w:t>竞投</w:t>
            </w:r>
            <w:r>
              <w:rPr>
                <w:rFonts w:hint="eastAsia" w:ascii="宋体" w:hAnsi="宋体"/>
                <w:color w:val="auto"/>
                <w:sz w:val="24"/>
                <w:szCs w:val="24"/>
                <w:highlight w:val="none"/>
              </w:rPr>
              <w:t>承诺函</w:t>
            </w:r>
          </w:p>
        </w:tc>
        <w:tc>
          <w:tcPr>
            <w:tcW w:w="4898" w:type="dxa"/>
            <w:tcBorders>
              <w:left w:val="single" w:color="auto" w:sz="4" w:space="0"/>
            </w:tcBorders>
            <w:noWrap w:val="0"/>
            <w:vAlign w:val="center"/>
          </w:tcPr>
          <w:p>
            <w:pPr>
              <w:jc w:val="center"/>
              <w:rPr>
                <w:rFonts w:ascii="宋体"/>
                <w:color w:val="auto"/>
                <w:sz w:val="24"/>
                <w:szCs w:val="24"/>
                <w:highlight w:val="none"/>
              </w:rPr>
            </w:pPr>
            <w:r>
              <w:rPr>
                <w:rFonts w:hint="eastAsia" w:ascii="宋体" w:hAnsi="宋体"/>
                <w:color w:val="auto"/>
                <w:sz w:val="24"/>
                <w:szCs w:val="24"/>
                <w:highlight w:val="none"/>
              </w:rPr>
              <w:t>按对应格式文件签署、盖章</w:t>
            </w:r>
          </w:p>
        </w:tc>
        <w:tc>
          <w:tcPr>
            <w:tcW w:w="871" w:type="dxa"/>
            <w:noWrap w:val="0"/>
            <w:vAlign w:val="center"/>
          </w:tcPr>
          <w:p>
            <w:pPr>
              <w:jc w:val="center"/>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份</w:t>
            </w:r>
          </w:p>
        </w:tc>
        <w:tc>
          <w:tcPr>
            <w:tcW w:w="1147" w:type="dxa"/>
            <w:noWrap w:val="0"/>
            <w:vAlign w:val="center"/>
          </w:tcPr>
          <w:p>
            <w:pPr>
              <w:jc w:val="center"/>
              <w:rPr>
                <w:rFonts w:ascii="宋体"/>
                <w:color w:val="auto"/>
                <w:sz w:val="24"/>
                <w:szCs w:val="24"/>
                <w:highlight w:val="none"/>
              </w:rPr>
            </w:pPr>
            <w:r>
              <w:rPr>
                <w:rFonts w:hint="eastAsia" w:ascii="宋体" w:hAnsi="宋体"/>
                <w:color w:val="auto"/>
                <w:sz w:val="24"/>
                <w:szCs w:val="24"/>
                <w:highlight w:val="none"/>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8" w:hRule="atLeast"/>
          <w:jc w:val="center"/>
        </w:trPr>
        <w:tc>
          <w:tcPr>
            <w:tcW w:w="675" w:type="dxa"/>
            <w:vMerge w:val="restart"/>
            <w:noWrap w:val="0"/>
            <w:vAlign w:val="center"/>
          </w:tcPr>
          <w:p>
            <w:pPr>
              <w:tabs>
                <w:tab w:val="left" w:pos="180"/>
              </w:tabs>
              <w:rPr>
                <w:rFonts w:ascii="宋体"/>
                <w:color w:val="auto"/>
                <w:szCs w:val="21"/>
                <w:highlight w:val="none"/>
              </w:rPr>
            </w:pPr>
            <w:r>
              <w:rPr>
                <w:rFonts w:ascii="宋体" w:hAnsi="宋体"/>
                <w:color w:val="auto"/>
                <w:szCs w:val="21"/>
                <w:highlight w:val="none"/>
              </w:rPr>
              <w:t>1.4</w:t>
            </w:r>
          </w:p>
        </w:tc>
        <w:tc>
          <w:tcPr>
            <w:tcW w:w="2204" w:type="dxa"/>
            <w:tcBorders>
              <w:right w:val="single" w:color="auto" w:sz="4" w:space="0"/>
            </w:tcBorders>
            <w:noWrap w:val="0"/>
            <w:vAlign w:val="center"/>
          </w:tcPr>
          <w:p>
            <w:pPr>
              <w:jc w:val="center"/>
              <w:rPr>
                <w:rFonts w:ascii="宋体"/>
                <w:color w:val="auto"/>
                <w:sz w:val="24"/>
                <w:szCs w:val="24"/>
                <w:highlight w:val="none"/>
              </w:rPr>
            </w:pPr>
            <w:r>
              <w:rPr>
                <w:rFonts w:hint="eastAsia" w:ascii="宋体" w:hAnsi="宋体"/>
                <w:color w:val="auto"/>
                <w:sz w:val="24"/>
                <w:szCs w:val="24"/>
                <w:highlight w:val="none"/>
                <w:lang w:eastAsia="zh-CN"/>
              </w:rPr>
              <w:t>投标人资格声明函</w:t>
            </w:r>
          </w:p>
        </w:tc>
        <w:tc>
          <w:tcPr>
            <w:tcW w:w="4898" w:type="dxa"/>
            <w:tcBorders>
              <w:left w:val="single" w:color="auto" w:sz="4" w:space="0"/>
            </w:tcBorders>
            <w:noWrap w:val="0"/>
            <w:vAlign w:val="center"/>
          </w:tcPr>
          <w:p>
            <w:pPr>
              <w:jc w:val="center"/>
              <w:rPr>
                <w:rFonts w:ascii="宋体"/>
                <w:color w:val="auto"/>
                <w:sz w:val="24"/>
                <w:szCs w:val="24"/>
                <w:highlight w:val="none"/>
              </w:rPr>
            </w:pPr>
            <w:r>
              <w:rPr>
                <w:rFonts w:hint="eastAsia" w:ascii="宋体" w:hAnsi="宋体"/>
                <w:color w:val="auto"/>
                <w:sz w:val="24"/>
                <w:szCs w:val="24"/>
                <w:highlight w:val="none"/>
              </w:rPr>
              <w:t>按对应格式文件签署、盖章</w:t>
            </w:r>
          </w:p>
        </w:tc>
        <w:tc>
          <w:tcPr>
            <w:tcW w:w="871" w:type="dxa"/>
            <w:noWrap w:val="0"/>
            <w:vAlign w:val="center"/>
          </w:tcPr>
          <w:p>
            <w:pPr>
              <w:jc w:val="center"/>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份</w:t>
            </w:r>
          </w:p>
        </w:tc>
        <w:tc>
          <w:tcPr>
            <w:tcW w:w="1147" w:type="dxa"/>
            <w:noWrap w:val="0"/>
            <w:vAlign w:val="center"/>
          </w:tcPr>
          <w:p>
            <w:pPr>
              <w:jc w:val="center"/>
              <w:rPr>
                <w:rFonts w:ascii="宋体"/>
                <w:color w:val="auto"/>
                <w:sz w:val="24"/>
                <w:szCs w:val="24"/>
                <w:highlight w:val="none"/>
              </w:rPr>
            </w:pPr>
            <w:r>
              <w:rPr>
                <w:rFonts w:hint="eastAsia" w:ascii="宋体" w:hAnsi="宋体"/>
                <w:color w:val="auto"/>
                <w:sz w:val="24"/>
                <w:szCs w:val="24"/>
                <w:highlight w:val="none"/>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8" w:hRule="atLeast"/>
          <w:jc w:val="center"/>
        </w:trPr>
        <w:tc>
          <w:tcPr>
            <w:tcW w:w="675" w:type="dxa"/>
            <w:vMerge w:val="continue"/>
            <w:noWrap w:val="0"/>
            <w:vAlign w:val="center"/>
          </w:tcPr>
          <w:p>
            <w:pPr>
              <w:tabs>
                <w:tab w:val="left" w:pos="180"/>
              </w:tabs>
              <w:rPr>
                <w:rFonts w:ascii="宋体" w:hAnsi="宋体"/>
                <w:color w:val="auto"/>
                <w:szCs w:val="21"/>
                <w:highlight w:val="none"/>
              </w:rPr>
            </w:pPr>
          </w:p>
        </w:tc>
        <w:tc>
          <w:tcPr>
            <w:tcW w:w="2204" w:type="dxa"/>
            <w:tcBorders>
              <w:right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投标人资格声明函附件资料</w:t>
            </w:r>
          </w:p>
        </w:tc>
        <w:tc>
          <w:tcPr>
            <w:tcW w:w="4898" w:type="dxa"/>
            <w:tcBorders>
              <w:left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1.营业执照副本复印件</w:t>
            </w:r>
          </w:p>
          <w:p>
            <w:pPr>
              <w:jc w:val="center"/>
              <w:rPr>
                <w:rFonts w:ascii="宋体"/>
                <w:color w:val="auto"/>
                <w:sz w:val="24"/>
                <w:szCs w:val="24"/>
                <w:highlight w:val="none"/>
              </w:rPr>
            </w:pPr>
            <w:r>
              <w:rPr>
                <w:rFonts w:hint="eastAsia" w:ascii="宋体" w:hAnsi="宋体"/>
                <w:color w:val="auto"/>
                <w:sz w:val="24"/>
                <w:szCs w:val="24"/>
                <w:highlight w:val="none"/>
              </w:rPr>
              <w:t>2.相关信用证明文件</w:t>
            </w:r>
          </w:p>
        </w:tc>
        <w:tc>
          <w:tcPr>
            <w:tcW w:w="871" w:type="dxa"/>
            <w:noWrap w:val="0"/>
            <w:vAlign w:val="center"/>
          </w:tcPr>
          <w:p>
            <w:pPr>
              <w:jc w:val="center"/>
              <w:rPr>
                <w:rFonts w:ascii="宋体"/>
                <w:color w:val="auto"/>
                <w:sz w:val="24"/>
                <w:szCs w:val="24"/>
                <w:highlight w:val="none"/>
              </w:rPr>
            </w:pPr>
            <w:r>
              <w:rPr>
                <w:rFonts w:hint="eastAsia" w:ascii="宋体" w:hAnsi="宋体"/>
                <w:color w:val="auto"/>
                <w:sz w:val="24"/>
                <w:szCs w:val="24"/>
                <w:highlight w:val="none"/>
                <w:lang w:eastAsia="zh-CN"/>
              </w:rPr>
              <w:t>各</w:t>
            </w:r>
            <w:r>
              <w:rPr>
                <w:rFonts w:hint="eastAsia" w:ascii="宋体" w:hAnsi="宋体"/>
                <w:color w:val="auto"/>
                <w:sz w:val="24"/>
                <w:szCs w:val="24"/>
                <w:highlight w:val="none"/>
                <w:lang w:val="en-US" w:eastAsia="zh-CN"/>
              </w:rPr>
              <w:t>1份</w:t>
            </w:r>
          </w:p>
        </w:tc>
        <w:tc>
          <w:tcPr>
            <w:tcW w:w="1147" w:type="dxa"/>
            <w:noWrap w:val="0"/>
            <w:vAlign w:val="center"/>
          </w:tcPr>
          <w:p>
            <w:pPr>
              <w:jc w:val="center"/>
              <w:rPr>
                <w:rFonts w:ascii="宋体"/>
                <w:color w:val="auto"/>
                <w:sz w:val="24"/>
                <w:szCs w:val="24"/>
                <w:highlight w:val="none"/>
              </w:rPr>
            </w:pPr>
            <w:r>
              <w:rPr>
                <w:rFonts w:hint="eastAsia" w:ascii="宋体" w:hAnsi="宋体"/>
                <w:color w:val="auto"/>
                <w:sz w:val="24"/>
                <w:szCs w:val="24"/>
                <w:highlight w:val="none"/>
                <w:lang w:eastAsia="zh-CN"/>
              </w:rPr>
              <w:t>复印件</w:t>
            </w:r>
          </w:p>
        </w:tc>
      </w:tr>
    </w:tbl>
    <w:p>
      <w:pPr>
        <w:pStyle w:val="8"/>
        <w:spacing w:afterLines="50" w:line="360" w:lineRule="auto"/>
        <w:rPr>
          <w:b/>
          <w:bCs/>
          <w:color w:val="auto"/>
          <w:sz w:val="24"/>
          <w:szCs w:val="24"/>
          <w:highlight w:val="none"/>
        </w:rPr>
      </w:pPr>
      <w:r>
        <w:rPr>
          <w:rFonts w:hint="eastAsia"/>
          <w:b/>
          <w:bCs/>
          <w:color w:val="auto"/>
          <w:sz w:val="24"/>
          <w:szCs w:val="24"/>
          <w:highlight w:val="none"/>
        </w:rPr>
        <w:t>特别提示与要求！</w:t>
      </w:r>
    </w:p>
    <w:p>
      <w:pPr>
        <w:snapToGrid w:val="0"/>
        <w:rPr>
          <w:rFonts w:ascii="宋体"/>
          <w:b/>
          <w:color w:val="auto"/>
          <w:sz w:val="44"/>
          <w:szCs w:val="44"/>
          <w:highlight w:val="none"/>
        </w:rPr>
      </w:pPr>
      <w:r>
        <w:rPr>
          <w:rFonts w:hint="eastAsia"/>
          <w:b/>
          <w:bCs/>
          <w:color w:val="auto"/>
          <w:sz w:val="24"/>
          <w:highlight w:val="none"/>
        </w:rPr>
        <w:t>以上材料将作为</w:t>
      </w:r>
      <w:r>
        <w:rPr>
          <w:rFonts w:hint="eastAsia"/>
          <w:b/>
          <w:bCs/>
          <w:color w:val="auto"/>
          <w:sz w:val="24"/>
          <w:highlight w:val="none"/>
          <w:lang w:eastAsia="zh-CN"/>
        </w:rPr>
        <w:t>投标人</w:t>
      </w:r>
      <w:r>
        <w:rPr>
          <w:rFonts w:hint="eastAsia"/>
          <w:b/>
          <w:bCs/>
          <w:color w:val="auto"/>
          <w:sz w:val="24"/>
          <w:highlight w:val="none"/>
        </w:rPr>
        <w:t>合格性和有效性审核的重要内容之一，</w:t>
      </w:r>
      <w:r>
        <w:rPr>
          <w:rFonts w:hint="eastAsia"/>
          <w:b/>
          <w:bCs/>
          <w:color w:val="auto"/>
          <w:sz w:val="24"/>
          <w:highlight w:val="none"/>
          <w:lang w:eastAsia="zh-CN"/>
        </w:rPr>
        <w:t>投标人</w:t>
      </w:r>
      <w:r>
        <w:rPr>
          <w:rFonts w:hint="eastAsia"/>
          <w:b/>
          <w:bCs/>
          <w:color w:val="auto"/>
          <w:sz w:val="24"/>
          <w:highlight w:val="none"/>
        </w:rPr>
        <w:t>必须严格按照其内容及序列要求在</w:t>
      </w:r>
      <w:r>
        <w:rPr>
          <w:rFonts w:hint="eastAsia"/>
          <w:b/>
          <w:bCs/>
          <w:color w:val="auto"/>
          <w:sz w:val="24"/>
          <w:highlight w:val="none"/>
          <w:lang w:eastAsia="zh-CN"/>
        </w:rPr>
        <w:t>竞投</w:t>
      </w:r>
      <w:r>
        <w:rPr>
          <w:rFonts w:hint="eastAsia"/>
          <w:b/>
          <w:bCs/>
          <w:color w:val="auto"/>
          <w:sz w:val="24"/>
          <w:highlight w:val="none"/>
        </w:rPr>
        <w:t>文件中对应如实提供，对缺漏和不符合项将会直接导致</w:t>
      </w:r>
      <w:r>
        <w:rPr>
          <w:rFonts w:hint="eastAsia"/>
          <w:b/>
          <w:bCs/>
          <w:color w:val="auto"/>
          <w:sz w:val="24"/>
          <w:highlight w:val="none"/>
          <w:lang w:eastAsia="zh-CN"/>
        </w:rPr>
        <w:t>资格审查不合格</w:t>
      </w:r>
      <w:r>
        <w:rPr>
          <w:rFonts w:hint="eastAsia"/>
          <w:b/>
          <w:bCs/>
          <w:color w:val="auto"/>
          <w:sz w:val="24"/>
          <w:highlight w:val="none"/>
        </w:rPr>
        <w:t>！</w:t>
      </w:r>
      <w:bookmarkEnd w:id="92"/>
    </w:p>
    <w:p>
      <w:pPr>
        <w:spacing w:after="240" w:afterLines="100" w:line="360" w:lineRule="auto"/>
        <w:jc w:val="center"/>
        <w:outlineLvl w:val="2"/>
        <w:rPr>
          <w:rFonts w:ascii="宋体"/>
          <w:b/>
          <w:color w:val="auto"/>
          <w:sz w:val="36"/>
          <w:szCs w:val="36"/>
          <w:highlight w:val="none"/>
        </w:rPr>
      </w:pPr>
      <w:bookmarkStart w:id="93" w:name="_Toc17611"/>
      <w:bookmarkStart w:id="94" w:name="_Toc7238"/>
      <w:bookmarkStart w:id="95" w:name="_Toc17147"/>
      <w:r>
        <w:rPr>
          <w:rFonts w:ascii="宋体" w:hAnsi="宋体"/>
          <w:b/>
          <w:color w:val="auto"/>
          <w:sz w:val="36"/>
          <w:szCs w:val="36"/>
          <w:highlight w:val="none"/>
        </w:rPr>
        <w:br w:type="page"/>
      </w:r>
      <w:bookmarkStart w:id="96" w:name="_Toc17471"/>
      <w:bookmarkStart w:id="97" w:name="_Toc14894"/>
      <w:bookmarkStart w:id="98" w:name="_Toc29297"/>
      <w:bookmarkStart w:id="99" w:name="_Toc13229"/>
      <w:bookmarkStart w:id="100" w:name="_Toc23930"/>
      <w:r>
        <w:rPr>
          <w:rFonts w:ascii="宋体" w:hAnsi="宋体"/>
          <w:b/>
          <w:color w:val="auto"/>
          <w:sz w:val="36"/>
          <w:szCs w:val="36"/>
          <w:highlight w:val="none"/>
        </w:rPr>
        <w:t>1.1</w:t>
      </w:r>
      <w:r>
        <w:rPr>
          <w:rFonts w:hint="eastAsia" w:ascii="宋体" w:hAnsi="宋体"/>
          <w:b/>
          <w:color w:val="auto"/>
          <w:sz w:val="36"/>
          <w:szCs w:val="36"/>
          <w:highlight w:val="none"/>
        </w:rPr>
        <w:t>法定代表人</w:t>
      </w:r>
      <w:r>
        <w:rPr>
          <w:rFonts w:ascii="宋体" w:hAnsi="宋体"/>
          <w:b/>
          <w:color w:val="auto"/>
          <w:sz w:val="36"/>
          <w:szCs w:val="36"/>
          <w:highlight w:val="none"/>
        </w:rPr>
        <w:t>/</w:t>
      </w:r>
      <w:r>
        <w:rPr>
          <w:rFonts w:hint="eastAsia" w:ascii="宋体" w:hAnsi="宋体"/>
          <w:b/>
          <w:color w:val="auto"/>
          <w:sz w:val="36"/>
          <w:szCs w:val="36"/>
          <w:highlight w:val="none"/>
        </w:rPr>
        <w:t>负责人资格证明书</w:t>
      </w:r>
      <w:bookmarkEnd w:id="93"/>
      <w:bookmarkEnd w:id="94"/>
      <w:bookmarkEnd w:id="95"/>
      <w:bookmarkEnd w:id="96"/>
      <w:bookmarkEnd w:id="97"/>
      <w:bookmarkEnd w:id="98"/>
      <w:bookmarkEnd w:id="99"/>
      <w:bookmarkEnd w:id="100"/>
    </w:p>
    <w:p>
      <w:pPr>
        <w:spacing w:line="480" w:lineRule="exact"/>
        <w:rPr>
          <w:rFonts w:hint="eastAsia" w:ascii="宋体" w:eastAsia="宋体"/>
          <w:b/>
          <w:color w:val="auto"/>
          <w:sz w:val="24"/>
          <w:highlight w:val="none"/>
          <w:lang w:eastAsia="zh-CN"/>
        </w:rPr>
      </w:pPr>
      <w:r>
        <w:rPr>
          <w:rFonts w:hint="eastAsia" w:ascii="宋体" w:hAnsi="宋体"/>
          <w:b/>
          <w:color w:val="auto"/>
          <w:sz w:val="24"/>
          <w:highlight w:val="none"/>
        </w:rPr>
        <w:t>致：</w:t>
      </w:r>
      <w:r>
        <w:rPr>
          <w:rFonts w:hint="eastAsia" w:ascii="宋体" w:hAnsi="宋体"/>
          <w:b/>
          <w:color w:val="auto"/>
          <w:sz w:val="24"/>
          <w:highlight w:val="none"/>
          <w:lang w:eastAsia="zh-CN"/>
        </w:rPr>
        <w:t>佛山市禅城区南庄镇吉利村竹甫经济合作社</w:t>
      </w:r>
      <w:r>
        <w:rPr>
          <w:rFonts w:hint="eastAsia" w:ascii="宋体" w:hAnsi="宋体"/>
          <w:b/>
          <w:color w:val="auto"/>
          <w:sz w:val="24"/>
          <w:highlight w:val="none"/>
        </w:rPr>
        <w:t>、</w:t>
      </w:r>
      <w:r>
        <w:rPr>
          <w:rFonts w:hint="eastAsia" w:ascii="宋体" w:hAnsi="宋体"/>
          <w:b/>
          <w:color w:val="auto"/>
          <w:sz w:val="24"/>
          <w:highlight w:val="none"/>
          <w:lang w:eastAsia="zh-CN"/>
        </w:rPr>
        <w:t>广东中采招标有限公司</w:t>
      </w:r>
    </w:p>
    <w:p>
      <w:pPr>
        <w:rPr>
          <w:rFonts w:ascii="宋体"/>
          <w:color w:val="auto"/>
          <w:sz w:val="24"/>
          <w:highlight w:val="none"/>
        </w:rPr>
      </w:pPr>
    </w:p>
    <w:p>
      <w:pPr>
        <w:spacing w:line="440" w:lineRule="exact"/>
        <w:ind w:firstLine="240" w:firstLineChars="100"/>
        <w:rPr>
          <w:rFonts w:ascii="宋体"/>
          <w:color w:val="auto"/>
          <w:sz w:val="24"/>
          <w:highlight w:val="none"/>
        </w:rPr>
      </w:pPr>
      <w:r>
        <w:rPr>
          <w:rFonts w:hint="eastAsia" w:ascii="宋体" w:hAnsi="宋体"/>
          <w:color w:val="auto"/>
          <w:sz w:val="24"/>
          <w:highlight w:val="none"/>
        </w:rPr>
        <w:t>同志，现任我单位职务，为</w:t>
      </w:r>
      <w:r>
        <w:rPr>
          <w:rFonts w:hint="eastAsia" w:ascii="宋体" w:hAnsi="宋体"/>
          <w:color w:val="auto"/>
          <w:sz w:val="24"/>
          <w:highlight w:val="none"/>
          <w:u w:val="single"/>
        </w:rPr>
        <w:t>（</w:t>
      </w:r>
      <w:r>
        <w:rPr>
          <w:rFonts w:hint="eastAsia" w:ascii="宋体" w:hAnsi="宋体"/>
          <w:color w:val="auto"/>
          <w:sz w:val="24"/>
          <w:highlight w:val="none"/>
        </w:rPr>
        <w:t>法定代表人</w:t>
      </w:r>
      <w:r>
        <w:rPr>
          <w:rFonts w:ascii="宋体" w:hAnsi="宋体"/>
          <w:color w:val="auto"/>
          <w:sz w:val="24"/>
          <w:highlight w:val="none"/>
        </w:rPr>
        <w:t>/</w:t>
      </w:r>
      <w:r>
        <w:rPr>
          <w:rFonts w:hint="eastAsia" w:ascii="宋体" w:hAnsi="宋体"/>
          <w:color w:val="auto"/>
          <w:sz w:val="24"/>
          <w:highlight w:val="none"/>
        </w:rPr>
        <w:t>负责人），特此证明。</w:t>
      </w:r>
    </w:p>
    <w:p>
      <w:pPr>
        <w:spacing w:line="440" w:lineRule="exact"/>
        <w:ind w:firstLine="240" w:firstLineChars="100"/>
        <w:rPr>
          <w:rFonts w:hint="eastAsia" w:ascii="宋体" w:eastAsia="宋体"/>
          <w:color w:val="auto"/>
          <w:sz w:val="24"/>
          <w:highlight w:val="none"/>
          <w:lang w:eastAsia="zh-CN"/>
        </w:rPr>
      </w:pPr>
      <w:r>
        <w:rPr>
          <w:rFonts w:hint="eastAsia" w:ascii="宋体" w:hAnsi="宋体"/>
          <w:color w:val="auto"/>
          <w:sz w:val="24"/>
          <w:highlight w:val="none"/>
        </w:rPr>
        <w:t>签发日期：</w:t>
      </w:r>
      <w:r>
        <w:rPr>
          <w:rFonts w:hint="eastAsia" w:ascii="宋体" w:hAnsi="宋体"/>
          <w:color w:val="auto"/>
          <w:sz w:val="24"/>
          <w:highlight w:val="none"/>
          <w:lang w:eastAsia="zh-CN"/>
        </w:rPr>
        <w:t>2024</w:t>
      </w:r>
      <w:r>
        <w:rPr>
          <w:rFonts w:hint="eastAsia" w:ascii="宋体" w:hAnsi="宋体"/>
          <w:color w:val="auto"/>
          <w:sz w:val="24"/>
          <w:highlight w:val="none"/>
        </w:rPr>
        <w:t>年月日</w:t>
      </w:r>
    </w:p>
    <w:p>
      <w:pPr>
        <w:spacing w:line="440" w:lineRule="exact"/>
        <w:ind w:firstLine="240" w:firstLineChars="100"/>
        <w:rPr>
          <w:rFonts w:ascii="宋体"/>
          <w:color w:val="auto"/>
          <w:sz w:val="24"/>
          <w:highlight w:val="none"/>
        </w:rPr>
      </w:pPr>
      <w:r>
        <w:rPr>
          <w:rFonts w:hint="eastAsia" w:ascii="宋体" w:hAnsi="宋体"/>
          <w:color w:val="auto"/>
          <w:sz w:val="24"/>
          <w:highlight w:val="none"/>
        </w:rPr>
        <w:t>单位名称：（</w:t>
      </w:r>
      <w:r>
        <w:rPr>
          <w:rFonts w:hint="eastAsia" w:ascii="宋体" w:hAnsi="宋体"/>
          <w:color w:val="auto"/>
          <w:sz w:val="24"/>
          <w:highlight w:val="none"/>
          <w:lang w:val="zh-CN"/>
        </w:rPr>
        <w:t>加盖投标人公章</w:t>
      </w:r>
      <w:r>
        <w:rPr>
          <w:rFonts w:hint="eastAsia" w:ascii="宋体" w:hAnsi="宋体"/>
          <w:color w:val="auto"/>
          <w:sz w:val="24"/>
          <w:highlight w:val="none"/>
        </w:rPr>
        <w:t>）</w:t>
      </w:r>
    </w:p>
    <w:p>
      <w:pPr>
        <w:spacing w:line="440" w:lineRule="exact"/>
        <w:ind w:firstLine="240" w:firstLineChars="100"/>
        <w:rPr>
          <w:rFonts w:ascii="宋体"/>
          <w:color w:val="auto"/>
          <w:sz w:val="24"/>
          <w:highlight w:val="none"/>
        </w:rPr>
      </w:pPr>
    </w:p>
    <w:p>
      <w:pPr>
        <w:spacing w:line="440" w:lineRule="exact"/>
        <w:ind w:firstLine="240" w:firstLineChars="100"/>
        <w:rPr>
          <w:rFonts w:ascii="宋体"/>
          <w:color w:val="auto"/>
          <w:sz w:val="24"/>
          <w:highlight w:val="none"/>
          <w:u w:val="single"/>
        </w:rPr>
      </w:pPr>
      <w:r>
        <w:rPr>
          <w:rFonts w:hint="eastAsia" w:ascii="宋体" w:hAnsi="宋体"/>
          <w:color w:val="auto"/>
          <w:sz w:val="24"/>
          <w:highlight w:val="none"/>
        </w:rPr>
        <w:t>附：法定代表人</w:t>
      </w:r>
      <w:r>
        <w:rPr>
          <w:rFonts w:ascii="宋体" w:hAnsi="宋体"/>
          <w:color w:val="auto"/>
          <w:sz w:val="24"/>
          <w:highlight w:val="none"/>
        </w:rPr>
        <w:t>/</w:t>
      </w:r>
      <w:r>
        <w:rPr>
          <w:rFonts w:hint="eastAsia" w:ascii="宋体" w:hAnsi="宋体"/>
          <w:color w:val="auto"/>
          <w:sz w:val="24"/>
          <w:highlight w:val="none"/>
        </w:rPr>
        <w:t>负责人性别：年龄：</w:t>
      </w:r>
    </w:p>
    <w:p>
      <w:pPr>
        <w:spacing w:line="440" w:lineRule="exact"/>
        <w:ind w:firstLine="720" w:firstLineChars="300"/>
        <w:rPr>
          <w:rFonts w:ascii="宋体"/>
          <w:color w:val="auto"/>
          <w:sz w:val="24"/>
          <w:highlight w:val="none"/>
          <w:u w:val="single"/>
        </w:rPr>
      </w:pPr>
      <w:r>
        <w:rPr>
          <w:rFonts w:hint="eastAsia" w:ascii="宋体" w:hAnsi="宋体"/>
          <w:color w:val="auto"/>
          <w:sz w:val="24"/>
          <w:highlight w:val="none"/>
        </w:rPr>
        <w:t>身份证号码：</w:t>
      </w:r>
    </w:p>
    <w:p>
      <w:pPr>
        <w:spacing w:line="440" w:lineRule="exact"/>
        <w:ind w:firstLine="720" w:firstLineChars="300"/>
        <w:rPr>
          <w:rFonts w:ascii="宋体"/>
          <w:color w:val="auto"/>
          <w:sz w:val="24"/>
          <w:highlight w:val="none"/>
        </w:rPr>
      </w:pPr>
      <w:r>
        <w:rPr>
          <w:rFonts w:hint="eastAsia" w:ascii="宋体" w:hAnsi="宋体"/>
          <w:color w:val="auto"/>
          <w:sz w:val="24"/>
          <w:highlight w:val="none"/>
        </w:rPr>
        <w:t>联系电话：</w:t>
      </w:r>
    </w:p>
    <w:p>
      <w:pPr>
        <w:spacing w:line="440" w:lineRule="exact"/>
        <w:ind w:firstLine="720" w:firstLineChars="300"/>
        <w:rPr>
          <w:rFonts w:ascii="宋体"/>
          <w:color w:val="auto"/>
          <w:sz w:val="24"/>
          <w:highlight w:val="none"/>
        </w:rPr>
      </w:pPr>
      <w:r>
        <w:rPr>
          <w:rFonts w:hint="eastAsia" w:ascii="宋体" w:hAnsi="宋体"/>
          <w:color w:val="auto"/>
          <w:sz w:val="24"/>
          <w:highlight w:val="none"/>
        </w:rPr>
        <w:t>营业执照号码：</w:t>
      </w:r>
    </w:p>
    <w:p>
      <w:pPr>
        <w:spacing w:line="440" w:lineRule="exact"/>
        <w:ind w:firstLine="720" w:firstLineChars="300"/>
        <w:rPr>
          <w:rFonts w:ascii="宋体"/>
          <w:color w:val="auto"/>
          <w:sz w:val="24"/>
          <w:highlight w:val="none"/>
        </w:rPr>
      </w:pPr>
      <w:r>
        <w:rPr>
          <w:rFonts w:hint="eastAsia" w:ascii="宋体" w:hAnsi="宋体"/>
          <w:color w:val="auto"/>
          <w:sz w:val="24"/>
          <w:highlight w:val="none"/>
        </w:rPr>
        <w:t>单位性质：</w:t>
      </w:r>
    </w:p>
    <w:p>
      <w:pPr>
        <w:spacing w:line="440" w:lineRule="exact"/>
        <w:ind w:firstLine="720" w:firstLineChars="300"/>
        <w:rPr>
          <w:rFonts w:ascii="宋体"/>
          <w:color w:val="auto"/>
          <w:sz w:val="24"/>
          <w:highlight w:val="none"/>
        </w:rPr>
      </w:pPr>
      <w:r>
        <w:rPr>
          <w:rFonts w:hint="eastAsia"/>
          <w:color w:val="auto"/>
          <w:sz w:val="24"/>
          <w:highlight w:val="none"/>
        </w:rPr>
        <w:t>成立时间：</w:t>
      </w:r>
    </w:p>
    <w:p>
      <w:pPr>
        <w:spacing w:line="440" w:lineRule="exact"/>
        <w:rPr>
          <w:rFonts w:ascii="宋体"/>
          <w:color w:val="auto"/>
          <w:sz w:val="24"/>
          <w:highlight w:val="none"/>
        </w:rPr>
      </w:pPr>
    </w:p>
    <w:p>
      <w:pPr>
        <w:spacing w:line="440" w:lineRule="exact"/>
        <w:ind w:left="960" w:hanging="960" w:hangingChars="400"/>
        <w:rPr>
          <w:rFonts w:ascii="宋体"/>
          <w:color w:val="auto"/>
          <w:sz w:val="24"/>
          <w:highlight w:val="none"/>
        </w:rPr>
      </w:pPr>
      <w:r>
        <w:rPr>
          <w:rFonts w:hint="eastAsia" w:ascii="宋体" w:hAnsi="宋体"/>
          <w:color w:val="auto"/>
          <w:sz w:val="24"/>
          <w:highlight w:val="none"/>
        </w:rPr>
        <w:t>说明：</w:t>
      </w:r>
      <w:r>
        <w:rPr>
          <w:rFonts w:ascii="宋体" w:hAnsi="宋体"/>
          <w:color w:val="auto"/>
          <w:sz w:val="24"/>
          <w:highlight w:val="none"/>
        </w:rPr>
        <w:t>1.</w:t>
      </w:r>
      <w:r>
        <w:rPr>
          <w:rFonts w:hint="eastAsia" w:ascii="宋体" w:hAnsi="宋体"/>
          <w:color w:val="auto"/>
          <w:sz w:val="24"/>
          <w:highlight w:val="none"/>
        </w:rPr>
        <w:t>法定代表人</w:t>
      </w:r>
      <w:r>
        <w:rPr>
          <w:rFonts w:ascii="宋体" w:hAnsi="宋体"/>
          <w:color w:val="auto"/>
          <w:sz w:val="24"/>
          <w:highlight w:val="none"/>
        </w:rPr>
        <w:t>/</w:t>
      </w:r>
      <w:r>
        <w:rPr>
          <w:rFonts w:hint="eastAsia" w:ascii="宋体" w:hAnsi="宋体"/>
          <w:color w:val="auto"/>
          <w:sz w:val="24"/>
          <w:highlight w:val="none"/>
        </w:rPr>
        <w:t>负责人为企业事业单位、国家机关、社会团体的主要行政负责人。</w:t>
      </w:r>
    </w:p>
    <w:p>
      <w:pPr>
        <w:spacing w:line="440" w:lineRule="exact"/>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内容必须填写真实、清楚、涂改无效，不得转让、买卖。</w:t>
      </w:r>
    </w:p>
    <w:p>
      <w:pPr>
        <w:spacing w:line="440" w:lineRule="exact"/>
        <w:ind w:firstLine="720" w:firstLineChars="300"/>
        <w:rPr>
          <w:rFonts w:ascii="宋体"/>
          <w:b/>
          <w:color w:val="auto"/>
          <w:sz w:val="24"/>
          <w:highlight w:val="none"/>
        </w:rPr>
      </w:pPr>
      <w:r>
        <w:rPr>
          <w:rFonts w:ascii="宋体" w:hAnsi="宋体"/>
          <w:color w:val="auto"/>
          <w:sz w:val="24"/>
          <w:highlight w:val="none"/>
        </w:rPr>
        <w:t>3.</w:t>
      </w:r>
      <w:r>
        <w:rPr>
          <w:rFonts w:hint="eastAsia" w:ascii="宋体" w:hAnsi="宋体"/>
          <w:color w:val="auto"/>
          <w:sz w:val="24"/>
          <w:highlight w:val="none"/>
        </w:rPr>
        <w:t>将此证明书提交对方作为合同附件</w:t>
      </w:r>
      <w:r>
        <w:rPr>
          <w:rFonts w:hint="eastAsia" w:ascii="宋体" w:hAnsi="宋体"/>
          <w:b/>
          <w:color w:val="auto"/>
          <w:sz w:val="24"/>
          <w:highlight w:val="none"/>
        </w:rPr>
        <w:t>。</w:t>
      </w:r>
    </w:p>
    <w:p>
      <w:pPr>
        <w:rPr>
          <w:rFonts w:ascii="宋体"/>
          <w:color w:val="auto"/>
          <w:sz w:val="24"/>
          <w:highlight w:val="none"/>
        </w:rPr>
      </w:pPr>
    </w:p>
    <w:p>
      <w:pPr>
        <w:rPr>
          <w:rFonts w:ascii="宋体"/>
          <w:color w:val="auto"/>
          <w:sz w:val="24"/>
          <w:highlight w:val="none"/>
        </w:rPr>
      </w:pPr>
    </w:p>
    <w:p>
      <w:pPr>
        <w:spacing w:after="120" w:afterLines="50"/>
        <w:ind w:left="3" w:leftChars="-85" w:hanging="181" w:hangingChars="75"/>
        <w:rPr>
          <w:rFonts w:ascii="宋体"/>
          <w:b/>
          <w:color w:val="auto"/>
          <w:sz w:val="24"/>
          <w:highlight w:val="none"/>
        </w:rPr>
      </w:pPr>
      <w:r>
        <w:rPr>
          <w:rFonts w:hint="eastAsia" w:ascii="宋体" w:hAnsi="宋体"/>
          <w:b/>
          <w:color w:val="auto"/>
          <w:sz w:val="24"/>
          <w:highlight w:val="none"/>
        </w:rPr>
        <w:t>附：法定代表人</w:t>
      </w:r>
      <w:r>
        <w:rPr>
          <w:rFonts w:ascii="宋体" w:hAnsi="宋体"/>
          <w:b/>
          <w:color w:val="auto"/>
          <w:sz w:val="24"/>
          <w:highlight w:val="none"/>
        </w:rPr>
        <w:t>/</w:t>
      </w:r>
      <w:r>
        <w:rPr>
          <w:rFonts w:hint="eastAsia" w:ascii="宋体" w:hAnsi="宋体"/>
          <w:b/>
          <w:color w:val="auto"/>
          <w:sz w:val="24"/>
          <w:highlight w:val="none"/>
        </w:rPr>
        <w:t>负责人的身份证复印件：</w:t>
      </w:r>
    </w:p>
    <w:tbl>
      <w:tblPr>
        <w:tblStyle w:val="19"/>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9396" w:type="dxa"/>
            <w:noWrap w:val="0"/>
            <w:vAlign w:val="center"/>
          </w:tcPr>
          <w:p>
            <w:pPr>
              <w:spacing w:line="360" w:lineRule="auto"/>
              <w:jc w:val="center"/>
              <w:rPr>
                <w:rFonts w:hAnsi="宋体"/>
                <w:color w:val="auto"/>
                <w:sz w:val="24"/>
                <w:highlight w:val="none"/>
              </w:rPr>
            </w:pPr>
            <w:r>
              <w:rPr>
                <w:rFonts w:hint="eastAsia" w:hAnsi="宋体"/>
                <w:color w:val="auto"/>
                <w:sz w:val="24"/>
                <w:highlight w:val="none"/>
              </w:rPr>
              <w:t>粘贴法定代表人</w:t>
            </w:r>
            <w:r>
              <w:rPr>
                <w:rFonts w:ascii="宋体" w:hAnsi="宋体"/>
                <w:color w:val="auto"/>
                <w:sz w:val="24"/>
                <w:highlight w:val="none"/>
              </w:rPr>
              <w:t>/</w:t>
            </w:r>
            <w:r>
              <w:rPr>
                <w:rFonts w:hint="eastAsia" w:ascii="宋体" w:hAnsi="宋体"/>
                <w:color w:val="auto"/>
                <w:sz w:val="24"/>
                <w:highlight w:val="none"/>
              </w:rPr>
              <w:t>负责人</w:t>
            </w:r>
            <w:r>
              <w:rPr>
                <w:rFonts w:hint="eastAsia" w:hAnsi="宋体"/>
                <w:color w:val="auto"/>
                <w:sz w:val="24"/>
                <w:highlight w:val="none"/>
              </w:rPr>
              <w:t>身份证复印件</w:t>
            </w:r>
            <w:r>
              <w:rPr>
                <w:rFonts w:hint="eastAsia" w:hAnsi="宋体"/>
                <w:b/>
                <w:color w:val="auto"/>
                <w:sz w:val="24"/>
                <w:highlight w:val="none"/>
              </w:rPr>
              <w:t>或</w:t>
            </w:r>
            <w:r>
              <w:rPr>
                <w:rFonts w:hint="eastAsia" w:hAnsi="宋体"/>
                <w:color w:val="auto"/>
                <w:sz w:val="24"/>
                <w:highlight w:val="none"/>
              </w:rPr>
              <w:t>直接扫描到此张纸上。</w:t>
            </w:r>
          </w:p>
          <w:p>
            <w:pPr>
              <w:spacing w:line="360" w:lineRule="auto"/>
              <w:jc w:val="center"/>
              <w:rPr>
                <w:rFonts w:ascii="宋体"/>
                <w:b/>
                <w:color w:val="auto"/>
                <w:sz w:val="24"/>
                <w:highlight w:val="none"/>
              </w:rPr>
            </w:pPr>
            <w:r>
              <w:rPr>
                <w:rFonts w:hint="eastAsia" w:hAnsi="宋体"/>
                <w:color w:val="auto"/>
                <w:sz w:val="24"/>
                <w:highlight w:val="none"/>
              </w:rPr>
              <w:t>注：若页面不够位置的，可另行附页，但须紧接此页</w:t>
            </w:r>
          </w:p>
        </w:tc>
      </w:tr>
    </w:tbl>
    <w:p>
      <w:pPr>
        <w:rPr>
          <w:rFonts w:ascii="宋体"/>
          <w:b/>
          <w:color w:val="auto"/>
          <w:sz w:val="24"/>
          <w:highlight w:val="none"/>
        </w:rPr>
      </w:pPr>
    </w:p>
    <w:p>
      <w:pPr>
        <w:ind w:left="472" w:hanging="472" w:hangingChars="196"/>
        <w:rPr>
          <w:rFonts w:ascii="宋体"/>
          <w:b/>
          <w:color w:val="auto"/>
          <w:sz w:val="24"/>
          <w:highlight w:val="none"/>
        </w:rPr>
      </w:pPr>
      <w:r>
        <w:rPr>
          <w:rFonts w:hint="eastAsia" w:ascii="宋体" w:hAnsi="宋体"/>
          <w:b/>
          <w:color w:val="auto"/>
          <w:sz w:val="24"/>
          <w:highlight w:val="none"/>
        </w:rPr>
        <w:t>注：法定代表人</w:t>
      </w:r>
      <w:r>
        <w:rPr>
          <w:rFonts w:ascii="宋体" w:hAnsi="宋体"/>
          <w:b/>
          <w:color w:val="auto"/>
          <w:sz w:val="24"/>
          <w:highlight w:val="none"/>
        </w:rPr>
        <w:t>/</w:t>
      </w:r>
      <w:r>
        <w:rPr>
          <w:rFonts w:hint="eastAsia" w:ascii="宋体" w:hAnsi="宋体"/>
          <w:b/>
          <w:color w:val="auto"/>
          <w:sz w:val="24"/>
          <w:highlight w:val="none"/>
        </w:rPr>
        <w:t>负责人或授权代表人在递交</w:t>
      </w:r>
      <w:r>
        <w:rPr>
          <w:rFonts w:hint="eastAsia" w:ascii="宋体" w:hAnsi="宋体"/>
          <w:b/>
          <w:color w:val="auto"/>
          <w:sz w:val="24"/>
          <w:highlight w:val="none"/>
          <w:lang w:eastAsia="zh-CN"/>
        </w:rPr>
        <w:t>竞投</w:t>
      </w:r>
      <w:r>
        <w:rPr>
          <w:rFonts w:hint="eastAsia" w:ascii="宋体" w:hAnsi="宋体"/>
          <w:b/>
          <w:color w:val="auto"/>
          <w:sz w:val="24"/>
          <w:highlight w:val="none"/>
        </w:rPr>
        <w:t>文件时，须向</w:t>
      </w:r>
      <w:r>
        <w:rPr>
          <w:rFonts w:hint="eastAsia" w:ascii="宋体" w:hAnsi="宋体"/>
          <w:b/>
          <w:color w:val="auto"/>
          <w:sz w:val="24"/>
          <w:highlight w:val="none"/>
          <w:lang w:eastAsia="zh-CN"/>
        </w:rPr>
        <w:t>招标代理机构</w:t>
      </w:r>
      <w:r>
        <w:rPr>
          <w:rFonts w:hint="eastAsia" w:ascii="宋体" w:hAnsi="宋体"/>
          <w:b/>
          <w:color w:val="auto"/>
          <w:sz w:val="24"/>
          <w:highlight w:val="none"/>
        </w:rPr>
        <w:t>人员出示此份证明书的</w:t>
      </w:r>
      <w:r>
        <w:rPr>
          <w:rFonts w:hint="eastAsia" w:ascii="宋体" w:hAnsi="宋体"/>
          <w:b/>
          <w:color w:val="auto"/>
          <w:sz w:val="24"/>
          <w:highlight w:val="none"/>
          <w:u w:val="single"/>
        </w:rPr>
        <w:t>原件</w:t>
      </w:r>
      <w:r>
        <w:rPr>
          <w:rFonts w:hint="eastAsia" w:ascii="宋体" w:hAnsi="宋体"/>
          <w:b/>
          <w:color w:val="auto"/>
          <w:sz w:val="24"/>
          <w:highlight w:val="none"/>
        </w:rPr>
        <w:t>，否则，</w:t>
      </w:r>
      <w:r>
        <w:rPr>
          <w:rFonts w:hint="eastAsia" w:ascii="宋体" w:hAnsi="宋体"/>
          <w:b/>
          <w:color w:val="auto"/>
          <w:sz w:val="24"/>
          <w:highlight w:val="none"/>
          <w:lang w:eastAsia="zh-CN"/>
        </w:rPr>
        <w:t>招标代理机构</w:t>
      </w:r>
      <w:r>
        <w:rPr>
          <w:rFonts w:hint="eastAsia" w:ascii="宋体" w:hAnsi="宋体"/>
          <w:b/>
          <w:color w:val="auto"/>
          <w:sz w:val="24"/>
          <w:highlight w:val="none"/>
        </w:rPr>
        <w:t>将有权拒收其</w:t>
      </w:r>
      <w:r>
        <w:rPr>
          <w:rFonts w:hint="eastAsia" w:ascii="宋体" w:hAnsi="宋体"/>
          <w:b/>
          <w:color w:val="auto"/>
          <w:sz w:val="24"/>
          <w:highlight w:val="none"/>
          <w:lang w:eastAsia="zh-CN"/>
        </w:rPr>
        <w:t>资格审查</w:t>
      </w:r>
      <w:r>
        <w:rPr>
          <w:rFonts w:hint="eastAsia" w:ascii="宋体" w:hAnsi="宋体"/>
          <w:b/>
          <w:color w:val="auto"/>
          <w:sz w:val="24"/>
          <w:highlight w:val="none"/>
        </w:rPr>
        <w:t>文件。</w:t>
      </w:r>
    </w:p>
    <w:p>
      <w:pPr>
        <w:rPr>
          <w:rFonts w:ascii="宋体"/>
          <w:b/>
          <w:color w:val="auto"/>
          <w:szCs w:val="21"/>
          <w:highlight w:val="none"/>
        </w:rPr>
      </w:pPr>
      <w:r>
        <w:rPr>
          <w:color w:val="auto"/>
          <w:sz w:val="24"/>
          <w:highlight w:val="none"/>
        </w:rPr>
        <w:br w:type="page"/>
      </w:r>
    </w:p>
    <w:p>
      <w:pPr>
        <w:spacing w:after="120" w:afterLines="50" w:line="360" w:lineRule="auto"/>
        <w:jc w:val="center"/>
        <w:outlineLvl w:val="2"/>
        <w:rPr>
          <w:rFonts w:hint="eastAsia" w:ascii="宋体" w:eastAsia="宋体"/>
          <w:b/>
          <w:color w:val="auto"/>
          <w:sz w:val="36"/>
          <w:szCs w:val="36"/>
          <w:highlight w:val="none"/>
          <w:lang w:eastAsia="zh-CN"/>
        </w:rPr>
      </w:pPr>
      <w:bookmarkStart w:id="101" w:name="_Toc31129"/>
      <w:bookmarkStart w:id="102" w:name="_Toc7452"/>
      <w:bookmarkStart w:id="103" w:name="_Toc13271"/>
      <w:bookmarkStart w:id="104" w:name="_Toc19126"/>
      <w:bookmarkStart w:id="105" w:name="_Toc18905"/>
      <w:bookmarkStart w:id="106" w:name="_Toc1989"/>
      <w:bookmarkStart w:id="107" w:name="_Toc3208"/>
      <w:bookmarkStart w:id="108" w:name="_Toc28451"/>
      <w:r>
        <w:rPr>
          <w:rFonts w:ascii="宋体" w:hAnsi="宋体"/>
          <w:b/>
          <w:color w:val="auto"/>
          <w:sz w:val="36"/>
          <w:szCs w:val="36"/>
          <w:highlight w:val="none"/>
        </w:rPr>
        <w:t>1.2</w:t>
      </w:r>
      <w:r>
        <w:rPr>
          <w:rFonts w:hint="eastAsia" w:ascii="宋体" w:hAnsi="宋体"/>
          <w:b/>
          <w:color w:val="auto"/>
          <w:sz w:val="36"/>
          <w:szCs w:val="36"/>
          <w:highlight w:val="none"/>
        </w:rPr>
        <w:t>法定代表人</w:t>
      </w:r>
      <w:r>
        <w:rPr>
          <w:rFonts w:ascii="宋体" w:hAnsi="宋体"/>
          <w:b/>
          <w:color w:val="auto"/>
          <w:sz w:val="36"/>
          <w:szCs w:val="36"/>
          <w:highlight w:val="none"/>
        </w:rPr>
        <w:t>/</w:t>
      </w:r>
      <w:r>
        <w:rPr>
          <w:rFonts w:hint="eastAsia" w:ascii="宋体" w:hAnsi="宋体"/>
          <w:b/>
          <w:color w:val="auto"/>
          <w:sz w:val="36"/>
          <w:szCs w:val="36"/>
          <w:highlight w:val="none"/>
        </w:rPr>
        <w:t>负责人授权书</w:t>
      </w:r>
      <w:bookmarkEnd w:id="101"/>
      <w:bookmarkEnd w:id="102"/>
      <w:bookmarkEnd w:id="103"/>
      <w:bookmarkEnd w:id="104"/>
      <w:bookmarkEnd w:id="105"/>
      <w:bookmarkEnd w:id="106"/>
      <w:bookmarkEnd w:id="107"/>
      <w:bookmarkEnd w:id="108"/>
    </w:p>
    <w:p>
      <w:pPr>
        <w:spacing w:after="120" w:afterLines="50" w:line="360" w:lineRule="auto"/>
        <w:rPr>
          <w:rFonts w:hint="eastAsia" w:ascii="宋体" w:eastAsia="宋体"/>
          <w:color w:val="auto"/>
          <w:sz w:val="24"/>
          <w:highlight w:val="none"/>
          <w:lang w:eastAsia="zh-CN"/>
        </w:rPr>
      </w:pPr>
      <w:r>
        <w:rPr>
          <w:rFonts w:hint="eastAsia" w:ascii="宋体" w:hAnsi="宋体"/>
          <w:b/>
          <w:color w:val="auto"/>
          <w:sz w:val="24"/>
          <w:highlight w:val="none"/>
        </w:rPr>
        <w:t>致：</w:t>
      </w:r>
      <w:r>
        <w:rPr>
          <w:rFonts w:hint="eastAsia" w:ascii="宋体" w:hAnsi="宋体"/>
          <w:b/>
          <w:color w:val="auto"/>
          <w:sz w:val="24"/>
          <w:highlight w:val="none"/>
          <w:lang w:eastAsia="zh-CN"/>
        </w:rPr>
        <w:t>佛山市禅城区南庄镇吉利村竹甫经济合作社</w:t>
      </w:r>
      <w:r>
        <w:rPr>
          <w:rFonts w:hint="eastAsia" w:ascii="宋体" w:hAnsi="宋体"/>
          <w:b/>
          <w:color w:val="auto"/>
          <w:sz w:val="24"/>
          <w:highlight w:val="none"/>
        </w:rPr>
        <w:t>、</w:t>
      </w:r>
      <w:r>
        <w:rPr>
          <w:rFonts w:hint="eastAsia" w:ascii="宋体" w:hAnsi="宋体"/>
          <w:b/>
          <w:color w:val="auto"/>
          <w:sz w:val="24"/>
          <w:highlight w:val="none"/>
          <w:lang w:eastAsia="zh-CN"/>
        </w:rPr>
        <w:t>广东中采招标有限公司</w:t>
      </w:r>
    </w:p>
    <w:p>
      <w:pPr>
        <w:spacing w:line="324" w:lineRule="auto"/>
        <w:ind w:firstLine="480" w:firstLineChars="200"/>
        <w:rPr>
          <w:rFonts w:ascii="宋体"/>
          <w:color w:val="auto"/>
          <w:sz w:val="24"/>
          <w:highlight w:val="none"/>
          <w:lang w:val="en-GB"/>
        </w:rPr>
      </w:pPr>
      <w:r>
        <w:rPr>
          <w:rFonts w:hint="eastAsia" w:ascii="宋体" w:hAnsi="宋体"/>
          <w:color w:val="auto"/>
          <w:sz w:val="24"/>
          <w:highlight w:val="none"/>
          <w:lang w:val="en-GB"/>
        </w:rPr>
        <w:t>我单位特授权委任以下之现职员工，作为我方于本项目</w:t>
      </w:r>
      <w:r>
        <w:rPr>
          <w:rFonts w:hint="eastAsia" w:ascii="宋体" w:hAnsi="宋体"/>
          <w:color w:val="auto"/>
          <w:sz w:val="24"/>
          <w:highlight w:val="none"/>
          <w:lang w:val="en-GB" w:eastAsia="zh-CN"/>
        </w:rPr>
        <w:t>竞投</w:t>
      </w:r>
      <w:r>
        <w:rPr>
          <w:rFonts w:hint="eastAsia" w:ascii="宋体" w:hAnsi="宋体"/>
          <w:color w:val="auto"/>
          <w:sz w:val="24"/>
          <w:highlight w:val="none"/>
          <w:lang w:val="en-GB"/>
        </w:rPr>
        <w:t>的唯一</w:t>
      </w:r>
      <w:r>
        <w:rPr>
          <w:rFonts w:hint="eastAsia" w:ascii="宋体" w:hAnsi="宋体" w:cs="宋体"/>
          <w:color w:val="auto"/>
          <w:sz w:val="24"/>
          <w:highlight w:val="none"/>
          <w:lang w:val="en-GB"/>
        </w:rPr>
        <w:t>全权代表</w:t>
      </w:r>
      <w:r>
        <w:rPr>
          <w:rFonts w:hint="eastAsia" w:ascii="宋体" w:hAnsi="宋体"/>
          <w:color w:val="auto"/>
          <w:sz w:val="24"/>
          <w:highlight w:val="none"/>
          <w:lang w:val="en-GB"/>
        </w:rPr>
        <w:t>，亲自出席参与贵方承办的项目</w:t>
      </w:r>
      <w:r>
        <w:rPr>
          <w:rFonts w:hint="eastAsia" w:ascii="宋体" w:hAnsi="宋体"/>
          <w:color w:val="auto"/>
          <w:sz w:val="24"/>
          <w:highlight w:val="none"/>
          <w:lang w:val="en-GB" w:eastAsia="zh-CN"/>
        </w:rPr>
        <w:t>竞投</w:t>
      </w:r>
      <w:r>
        <w:rPr>
          <w:rFonts w:hint="eastAsia" w:ascii="宋体" w:hAnsi="宋体"/>
          <w:color w:val="auto"/>
          <w:sz w:val="24"/>
          <w:highlight w:val="none"/>
          <w:lang w:val="en-GB"/>
        </w:rPr>
        <w:t>，对该代表人所提供、签署的一切文书均视为符合我方的合法利益和真实意愿，我方愿为其</w:t>
      </w:r>
      <w:r>
        <w:rPr>
          <w:rFonts w:hint="eastAsia" w:ascii="宋体" w:hAnsi="宋体"/>
          <w:color w:val="auto"/>
          <w:sz w:val="24"/>
          <w:highlight w:val="none"/>
          <w:lang w:val="en-GB" w:eastAsia="zh-CN"/>
        </w:rPr>
        <w:t>竞投</w:t>
      </w:r>
      <w:r>
        <w:rPr>
          <w:rFonts w:hint="eastAsia" w:ascii="宋体" w:hAnsi="宋体"/>
          <w:color w:val="auto"/>
          <w:sz w:val="24"/>
          <w:highlight w:val="none"/>
          <w:lang w:val="en-GB"/>
        </w:rPr>
        <w:t>行为承担全部责任。</w:t>
      </w:r>
    </w:p>
    <w:p>
      <w:pPr>
        <w:spacing w:line="324" w:lineRule="auto"/>
        <w:ind w:left="1727" w:leftChars="251" w:hanging="1200" w:hangingChars="500"/>
        <w:jc w:val="left"/>
        <w:rPr>
          <w:rFonts w:hint="eastAsia" w:ascii="宋体" w:eastAsia="宋体"/>
          <w:color w:val="auto"/>
          <w:sz w:val="24"/>
          <w:highlight w:val="none"/>
          <w:lang w:val="en-GB" w:eastAsia="zh-CN"/>
        </w:rPr>
      </w:pPr>
      <w:r>
        <w:rPr>
          <w:rFonts w:hint="eastAsia" w:ascii="宋体" w:hAnsi="宋体"/>
          <w:color w:val="auto"/>
          <w:sz w:val="24"/>
          <w:highlight w:val="none"/>
        </w:rPr>
        <w:t>项目名称：</w:t>
      </w:r>
      <w:r>
        <w:rPr>
          <w:rFonts w:hint="eastAsia" w:ascii="宋体" w:hAnsi="宋体"/>
          <w:color w:val="auto"/>
          <w:sz w:val="24"/>
          <w:highlight w:val="none"/>
          <w:lang w:val="en-GB" w:eastAsia="zh-CN"/>
        </w:rPr>
        <w:t>吉利竹甫村车辆停放管理服务</w:t>
      </w:r>
    </w:p>
    <w:p>
      <w:pPr>
        <w:spacing w:line="324" w:lineRule="auto"/>
        <w:ind w:firstLine="480" w:firstLineChars="200"/>
        <w:jc w:val="left"/>
        <w:rPr>
          <w:rFonts w:ascii="宋体"/>
          <w:color w:val="auto"/>
          <w:sz w:val="24"/>
          <w:highlight w:val="none"/>
        </w:rPr>
      </w:pPr>
      <w:r>
        <w:rPr>
          <w:rFonts w:hint="eastAsia" w:ascii="宋体" w:hAnsi="宋体"/>
          <w:color w:val="auto"/>
          <w:sz w:val="24"/>
          <w:highlight w:val="none"/>
        </w:rPr>
        <w:t>委任授权代表姓名：</w:t>
      </w:r>
      <w:r>
        <w:rPr>
          <w:rFonts w:hint="eastAsia" w:ascii="宋体" w:hAnsi="宋体"/>
          <w:color w:val="auto"/>
          <w:sz w:val="24"/>
          <w:highlight w:val="none"/>
          <w:u w:val="single"/>
        </w:rPr>
        <w:t>（印刷体）</w:t>
      </w:r>
      <w:r>
        <w:rPr>
          <w:rFonts w:hint="eastAsia" w:ascii="宋体" w:hAnsi="宋体"/>
          <w:color w:val="auto"/>
          <w:sz w:val="24"/>
          <w:highlight w:val="none"/>
        </w:rPr>
        <w:t>，身份证号码：；</w:t>
      </w:r>
    </w:p>
    <w:p>
      <w:pPr>
        <w:spacing w:line="324" w:lineRule="auto"/>
        <w:ind w:firstLine="480" w:firstLineChars="200"/>
        <w:jc w:val="left"/>
        <w:rPr>
          <w:color w:val="auto"/>
          <w:highlight w:val="none"/>
        </w:rPr>
      </w:pPr>
      <w:r>
        <w:rPr>
          <w:rFonts w:hint="eastAsia" w:ascii="宋体" w:hAnsi="宋体"/>
          <w:color w:val="auto"/>
          <w:sz w:val="24"/>
          <w:highlight w:val="none"/>
        </w:rPr>
        <w:t>委任授权代表姓名：</w:t>
      </w:r>
      <w:r>
        <w:rPr>
          <w:rFonts w:hint="eastAsia" w:ascii="宋体" w:hAnsi="宋体"/>
          <w:color w:val="auto"/>
          <w:sz w:val="24"/>
          <w:highlight w:val="none"/>
          <w:u w:val="single"/>
        </w:rPr>
        <w:t>（亲笔签名）</w:t>
      </w:r>
      <w:r>
        <w:rPr>
          <w:rFonts w:hint="eastAsia" w:ascii="宋体" w:hAnsi="宋体"/>
          <w:color w:val="auto"/>
          <w:sz w:val="24"/>
          <w:highlight w:val="none"/>
        </w:rPr>
        <w:t>；</w:t>
      </w:r>
    </w:p>
    <w:p>
      <w:pPr>
        <w:spacing w:line="324" w:lineRule="auto"/>
        <w:ind w:firstLine="480" w:firstLineChars="200"/>
        <w:jc w:val="left"/>
        <w:rPr>
          <w:rFonts w:hint="eastAsia" w:ascii="宋体" w:eastAsia="宋体"/>
          <w:color w:val="auto"/>
          <w:sz w:val="24"/>
          <w:highlight w:val="none"/>
          <w:lang w:eastAsia="zh-CN"/>
        </w:rPr>
      </w:pPr>
      <w:r>
        <w:rPr>
          <w:rFonts w:hint="eastAsia" w:ascii="宋体" w:hAnsi="宋体"/>
          <w:color w:val="auto"/>
          <w:sz w:val="24"/>
          <w:highlight w:val="none"/>
        </w:rPr>
        <w:t>联系电话（手机）：，现职务：；</w:t>
      </w:r>
    </w:p>
    <w:p>
      <w:pPr>
        <w:spacing w:line="324" w:lineRule="auto"/>
        <w:ind w:firstLine="480" w:firstLineChars="200"/>
        <w:jc w:val="left"/>
        <w:rPr>
          <w:rFonts w:ascii="宋体"/>
          <w:color w:val="auto"/>
          <w:sz w:val="24"/>
          <w:highlight w:val="none"/>
        </w:rPr>
      </w:pPr>
      <w:r>
        <w:rPr>
          <w:rFonts w:hint="eastAsia" w:ascii="宋体" w:hAnsi="宋体"/>
          <w:color w:val="auto"/>
          <w:sz w:val="24"/>
          <w:highlight w:val="none"/>
        </w:rPr>
        <w:t>授权权限：全权代表本单位参与上述项目的</w:t>
      </w:r>
      <w:r>
        <w:rPr>
          <w:rFonts w:hint="eastAsia" w:ascii="宋体" w:hAnsi="宋体"/>
          <w:color w:val="auto"/>
          <w:sz w:val="24"/>
          <w:highlight w:val="none"/>
          <w:lang w:eastAsia="zh-CN"/>
        </w:rPr>
        <w:t>竞投</w:t>
      </w:r>
      <w:r>
        <w:rPr>
          <w:rFonts w:hint="eastAsia" w:ascii="宋体" w:hAnsi="宋体"/>
          <w:color w:val="auto"/>
          <w:sz w:val="24"/>
          <w:highlight w:val="none"/>
        </w:rPr>
        <w:t>、</w:t>
      </w:r>
      <w:r>
        <w:rPr>
          <w:rFonts w:hint="eastAsia" w:ascii="宋体" w:hAnsi="宋体" w:cs="宋体"/>
          <w:color w:val="auto"/>
          <w:sz w:val="24"/>
          <w:highlight w:val="none"/>
          <w:lang w:val="en-GB"/>
        </w:rPr>
        <w:t>递交</w:t>
      </w:r>
      <w:r>
        <w:rPr>
          <w:rFonts w:hint="eastAsia" w:ascii="宋体" w:hAnsi="宋体" w:cs="宋体"/>
          <w:color w:val="auto"/>
          <w:sz w:val="24"/>
          <w:highlight w:val="none"/>
          <w:lang w:val="en-GB" w:eastAsia="zh-CN"/>
        </w:rPr>
        <w:t>资格审查</w:t>
      </w:r>
      <w:r>
        <w:rPr>
          <w:rFonts w:hint="eastAsia" w:ascii="宋体" w:hAnsi="宋体" w:cs="宋体"/>
          <w:color w:val="auto"/>
          <w:sz w:val="24"/>
          <w:highlight w:val="none"/>
          <w:lang w:val="en-GB"/>
        </w:rPr>
        <w:t>文件、出席</w:t>
      </w:r>
      <w:r>
        <w:rPr>
          <w:rFonts w:hint="eastAsia" w:ascii="宋体" w:hAnsi="宋体" w:cs="宋体"/>
          <w:color w:val="auto"/>
          <w:sz w:val="24"/>
          <w:highlight w:val="none"/>
          <w:lang w:val="en-GB" w:eastAsia="zh-CN"/>
        </w:rPr>
        <w:t>竞投会</w:t>
      </w:r>
      <w:r>
        <w:rPr>
          <w:rFonts w:hint="eastAsia" w:ascii="宋体" w:hAnsi="宋体" w:cs="宋体"/>
          <w:color w:val="auto"/>
          <w:sz w:val="24"/>
          <w:highlight w:val="none"/>
          <w:lang w:val="en-GB"/>
        </w:rPr>
        <w:t>全程、</w:t>
      </w:r>
      <w:r>
        <w:rPr>
          <w:rFonts w:hint="eastAsia" w:ascii="宋体" w:hAnsi="宋体" w:cs="宋体"/>
          <w:color w:val="auto"/>
          <w:sz w:val="24"/>
          <w:highlight w:val="none"/>
          <w:lang w:val="en-GB" w:eastAsia="zh-CN"/>
        </w:rPr>
        <w:t>现场应价</w:t>
      </w:r>
      <w:r>
        <w:rPr>
          <w:rFonts w:hint="eastAsia" w:ascii="宋体" w:hAnsi="宋体" w:cs="宋体"/>
          <w:color w:val="auto"/>
          <w:sz w:val="24"/>
          <w:highlight w:val="none"/>
          <w:lang w:val="en-GB"/>
        </w:rPr>
        <w:t>；按照采</w:t>
      </w:r>
      <w:r>
        <w:rPr>
          <w:rFonts w:hint="eastAsia" w:ascii="宋体" w:hAnsi="宋体" w:cs="宋体"/>
          <w:color w:val="auto"/>
          <w:sz w:val="24"/>
          <w:highlight w:val="none"/>
          <w:lang w:val="en-GB" w:eastAsia="zh-CN"/>
        </w:rPr>
        <w:t>招标人</w:t>
      </w:r>
      <w:r>
        <w:rPr>
          <w:rFonts w:hint="eastAsia" w:ascii="宋体" w:hAnsi="宋体" w:cs="宋体"/>
          <w:color w:val="auto"/>
          <w:sz w:val="24"/>
          <w:highlight w:val="none"/>
          <w:lang w:val="en-GB"/>
        </w:rPr>
        <w:t>的要求现场处理</w:t>
      </w:r>
      <w:r>
        <w:rPr>
          <w:rFonts w:hint="eastAsia" w:ascii="宋体" w:hAnsi="宋体" w:cs="宋体"/>
          <w:color w:val="auto"/>
          <w:sz w:val="24"/>
          <w:highlight w:val="none"/>
          <w:lang w:val="en-GB" w:eastAsia="zh-CN"/>
        </w:rPr>
        <w:t>竞投</w:t>
      </w:r>
      <w:r>
        <w:rPr>
          <w:rFonts w:hint="eastAsia" w:ascii="宋体" w:hAnsi="宋体" w:cs="宋体"/>
          <w:color w:val="auto"/>
          <w:sz w:val="24"/>
          <w:highlight w:val="none"/>
          <w:lang w:val="en-GB"/>
        </w:rPr>
        <w:t>相关事宜；</w:t>
      </w:r>
      <w:r>
        <w:rPr>
          <w:rFonts w:hint="eastAsia" w:ascii="宋体" w:hAnsi="宋体"/>
          <w:color w:val="auto"/>
          <w:sz w:val="24"/>
          <w:highlight w:val="none"/>
        </w:rPr>
        <w:t>负责提供与签署确认一切文书资料，以及向贵方递交的任何补充承诺。</w:t>
      </w:r>
    </w:p>
    <w:p>
      <w:pPr>
        <w:spacing w:line="324" w:lineRule="auto"/>
        <w:ind w:firstLine="480" w:firstLineChars="200"/>
        <w:jc w:val="left"/>
        <w:rPr>
          <w:rFonts w:ascii="宋体"/>
          <w:color w:val="auto"/>
          <w:sz w:val="24"/>
          <w:highlight w:val="none"/>
        </w:rPr>
      </w:pPr>
      <w:r>
        <w:rPr>
          <w:rFonts w:hint="eastAsia" w:ascii="宋体" w:hAnsi="宋体"/>
          <w:color w:val="auto"/>
          <w:sz w:val="24"/>
          <w:highlight w:val="none"/>
        </w:rPr>
        <w:t>有效期限：与本项目</w:t>
      </w:r>
      <w:r>
        <w:rPr>
          <w:rFonts w:hint="eastAsia" w:ascii="宋体" w:hAnsi="宋体"/>
          <w:color w:val="auto"/>
          <w:sz w:val="24"/>
          <w:highlight w:val="none"/>
          <w:lang w:eastAsia="zh-CN"/>
        </w:rPr>
        <w:t>竞投文件</w:t>
      </w:r>
      <w:r>
        <w:rPr>
          <w:rFonts w:hint="eastAsia" w:ascii="宋体" w:hAnsi="宋体"/>
          <w:color w:val="auto"/>
          <w:sz w:val="24"/>
          <w:highlight w:val="none"/>
        </w:rPr>
        <w:t>要求的</w:t>
      </w:r>
      <w:r>
        <w:rPr>
          <w:rFonts w:hint="eastAsia" w:ascii="宋体" w:hAnsi="宋体"/>
          <w:color w:val="auto"/>
          <w:sz w:val="24"/>
          <w:highlight w:val="none"/>
          <w:lang w:eastAsia="zh-CN"/>
        </w:rPr>
        <w:t>投标有效期</w:t>
      </w:r>
      <w:r>
        <w:rPr>
          <w:rFonts w:hint="eastAsia" w:ascii="宋体" w:hAnsi="宋体"/>
          <w:color w:val="auto"/>
          <w:sz w:val="24"/>
          <w:highlight w:val="none"/>
        </w:rPr>
        <w:t>相同，自本单位盖章之日起生效。</w:t>
      </w:r>
    </w:p>
    <w:p>
      <w:pPr>
        <w:spacing w:after="120" w:afterLines="50" w:line="324" w:lineRule="auto"/>
        <w:ind w:firstLine="480" w:firstLineChars="200"/>
        <w:jc w:val="left"/>
        <w:rPr>
          <w:rFonts w:ascii="宋体"/>
          <w:color w:val="auto"/>
          <w:sz w:val="24"/>
          <w:highlight w:val="none"/>
        </w:rPr>
      </w:pPr>
      <w:r>
        <w:rPr>
          <w:rFonts w:hint="eastAsia" w:ascii="宋体" w:hAnsi="宋体"/>
          <w:color w:val="auto"/>
          <w:sz w:val="24"/>
          <w:highlight w:val="none"/>
        </w:rPr>
        <w:t>特此授权证明。</w:t>
      </w:r>
    </w:p>
    <w:p>
      <w:pPr>
        <w:spacing w:line="336" w:lineRule="auto"/>
        <w:ind w:firstLine="480" w:firstLineChars="200"/>
        <w:rPr>
          <w:rFonts w:ascii="黑体" w:eastAsia="黑体"/>
          <w:color w:val="auto"/>
          <w:sz w:val="24"/>
          <w:highlight w:val="none"/>
          <w:lang w:val="en-GB"/>
        </w:rPr>
      </w:pPr>
      <w:r>
        <w:rPr>
          <w:rFonts w:hint="eastAsia" w:ascii="黑体" w:eastAsia="黑体"/>
          <w:color w:val="auto"/>
          <w:sz w:val="24"/>
          <w:highlight w:val="none"/>
          <w:lang w:val="en-GB" w:eastAsia="zh-CN"/>
        </w:rPr>
        <w:t>投标人</w:t>
      </w:r>
      <w:r>
        <w:rPr>
          <w:rFonts w:hint="eastAsia" w:ascii="黑体" w:eastAsia="黑体"/>
          <w:color w:val="auto"/>
          <w:sz w:val="24"/>
          <w:highlight w:val="none"/>
          <w:lang w:val="en-GB"/>
        </w:rPr>
        <w:t>名称：</w:t>
      </w:r>
      <w:r>
        <w:rPr>
          <w:rFonts w:hint="eastAsia" w:ascii="黑体" w:eastAsia="黑体"/>
          <w:color w:val="auto"/>
          <w:sz w:val="24"/>
          <w:highlight w:val="none"/>
          <w:u w:val="dotted"/>
          <w:lang w:val="en-GB"/>
        </w:rPr>
        <w:t>（全称）</w:t>
      </w:r>
      <w:r>
        <w:rPr>
          <w:rFonts w:hint="eastAsia" w:ascii="黑体" w:eastAsia="黑体"/>
          <w:color w:val="auto"/>
          <w:sz w:val="24"/>
          <w:highlight w:val="none"/>
          <w:lang w:val="en-GB"/>
        </w:rPr>
        <w:t>（加盖</w:t>
      </w:r>
      <w:r>
        <w:rPr>
          <w:rFonts w:hint="eastAsia" w:ascii="黑体" w:eastAsia="黑体"/>
          <w:color w:val="auto"/>
          <w:sz w:val="24"/>
          <w:highlight w:val="none"/>
          <w:lang w:val="en-GB" w:eastAsia="zh-CN"/>
        </w:rPr>
        <w:t>投标人</w:t>
      </w:r>
      <w:r>
        <w:rPr>
          <w:rFonts w:hint="eastAsia" w:ascii="黑体" w:eastAsia="黑体"/>
          <w:color w:val="auto"/>
          <w:sz w:val="24"/>
          <w:highlight w:val="none"/>
          <w:lang w:val="en-GB"/>
        </w:rPr>
        <w:t>公章）</w:t>
      </w:r>
    </w:p>
    <w:p>
      <w:pPr>
        <w:spacing w:line="336" w:lineRule="auto"/>
        <w:ind w:firstLine="480" w:firstLineChars="200"/>
        <w:rPr>
          <w:rFonts w:ascii="黑体" w:eastAsia="黑体"/>
          <w:color w:val="auto"/>
          <w:sz w:val="24"/>
          <w:highlight w:val="none"/>
          <w:lang w:val="en-GB"/>
        </w:rPr>
      </w:pPr>
      <w:r>
        <w:rPr>
          <w:rFonts w:hint="eastAsia" w:ascii="黑体" w:eastAsia="黑体"/>
          <w:color w:val="auto"/>
          <w:sz w:val="24"/>
          <w:highlight w:val="none"/>
          <w:lang w:val="en-GB"/>
        </w:rPr>
        <w:t>法定代表人（或负责人）：（亲笔签名或签章）</w:t>
      </w:r>
    </w:p>
    <w:p>
      <w:pPr>
        <w:spacing w:line="336" w:lineRule="auto"/>
        <w:ind w:firstLine="480" w:firstLineChars="200"/>
        <w:rPr>
          <w:rFonts w:ascii="黑体" w:eastAsia="黑体"/>
          <w:color w:val="auto"/>
          <w:sz w:val="24"/>
          <w:highlight w:val="none"/>
          <w:lang w:val="en-GB"/>
        </w:rPr>
      </w:pPr>
      <w:r>
        <w:rPr>
          <w:rFonts w:hint="eastAsia" w:ascii="黑体" w:eastAsia="黑体"/>
          <w:color w:val="auto"/>
          <w:sz w:val="24"/>
          <w:highlight w:val="none"/>
          <w:lang w:val="en-GB"/>
        </w:rPr>
        <w:t>委任授权代表：（亲笔签名或签章）</w:t>
      </w:r>
    </w:p>
    <w:p>
      <w:pPr>
        <w:spacing w:line="336" w:lineRule="auto"/>
        <w:ind w:firstLine="480" w:firstLineChars="200"/>
        <w:rPr>
          <w:rFonts w:ascii="黑体" w:eastAsia="黑体"/>
          <w:color w:val="auto"/>
          <w:sz w:val="24"/>
          <w:highlight w:val="none"/>
          <w:lang w:val="en-GB"/>
        </w:rPr>
      </w:pPr>
      <w:r>
        <w:rPr>
          <w:rFonts w:hint="eastAsia" w:ascii="黑体" w:eastAsia="黑体"/>
          <w:color w:val="auto"/>
          <w:sz w:val="24"/>
          <w:highlight w:val="none"/>
          <w:lang w:val="en-GB"/>
        </w:rPr>
        <w:t>生效日期：</w:t>
      </w:r>
      <w:r>
        <w:rPr>
          <w:rFonts w:hint="eastAsia" w:ascii="黑体" w:eastAsia="黑体"/>
          <w:color w:val="auto"/>
          <w:sz w:val="24"/>
          <w:highlight w:val="none"/>
          <w:lang w:val="en-GB" w:eastAsia="zh-CN"/>
        </w:rPr>
        <w:t>2024</w:t>
      </w:r>
      <w:r>
        <w:rPr>
          <w:rFonts w:hint="eastAsia" w:ascii="黑体" w:eastAsia="黑体"/>
          <w:color w:val="auto"/>
          <w:sz w:val="24"/>
          <w:highlight w:val="none"/>
          <w:lang w:val="en-GB"/>
        </w:rPr>
        <w:t>年月日。</w:t>
      </w:r>
    </w:p>
    <w:p>
      <w:pPr>
        <w:spacing w:line="264" w:lineRule="auto"/>
        <w:ind w:left="420" w:leftChars="200" w:right="363" w:rightChars="173"/>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val="en-GB"/>
        </w:rPr>
        <w:t>说明：</w:t>
      </w:r>
    </w:p>
    <w:p>
      <w:pPr>
        <w:spacing w:line="264" w:lineRule="auto"/>
        <w:ind w:left="780" w:leftChars="200" w:right="363" w:rightChars="173" w:hanging="360" w:hangingChars="150"/>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val="en-GB"/>
        </w:rPr>
        <w:t>1、</w:t>
      </w:r>
      <w:r>
        <w:rPr>
          <w:rFonts w:hint="eastAsia" w:asciiTheme="minorEastAsia" w:hAnsiTheme="minorEastAsia" w:eastAsiaTheme="minorEastAsia" w:cstheme="minorEastAsia"/>
          <w:color w:val="auto"/>
          <w:sz w:val="24"/>
          <w:szCs w:val="24"/>
          <w:highlight w:val="none"/>
          <w:u w:val="single"/>
          <w:lang w:val="en-GB"/>
        </w:rPr>
        <w:t>法定代表人</w:t>
      </w:r>
      <w:r>
        <w:rPr>
          <w:rFonts w:hint="eastAsia" w:asciiTheme="minorEastAsia" w:hAnsiTheme="minorEastAsia" w:eastAsiaTheme="minorEastAsia" w:cstheme="minorEastAsia"/>
          <w:color w:val="auto"/>
          <w:sz w:val="24"/>
          <w:szCs w:val="24"/>
          <w:highlight w:val="none"/>
          <w:u w:val="single"/>
        </w:rPr>
        <w:t>/负责人</w:t>
      </w:r>
      <w:r>
        <w:rPr>
          <w:rFonts w:hint="eastAsia" w:asciiTheme="minorEastAsia" w:hAnsiTheme="minorEastAsia" w:eastAsiaTheme="minorEastAsia" w:cstheme="minorEastAsia"/>
          <w:color w:val="auto"/>
          <w:sz w:val="24"/>
          <w:szCs w:val="24"/>
          <w:highlight w:val="none"/>
          <w:u w:val="single"/>
          <w:lang w:val="en-GB"/>
        </w:rPr>
        <w:t>或授权代表人在递交</w:t>
      </w:r>
      <w:r>
        <w:rPr>
          <w:rFonts w:hint="eastAsia" w:asciiTheme="minorEastAsia" w:hAnsiTheme="minorEastAsia" w:eastAsiaTheme="minorEastAsia" w:cstheme="minorEastAsia"/>
          <w:color w:val="auto"/>
          <w:sz w:val="24"/>
          <w:szCs w:val="24"/>
          <w:highlight w:val="none"/>
          <w:u w:val="single"/>
          <w:lang w:val="en-GB" w:eastAsia="zh-CN"/>
        </w:rPr>
        <w:t>竞投</w:t>
      </w:r>
      <w:r>
        <w:rPr>
          <w:rFonts w:hint="eastAsia" w:asciiTheme="minorEastAsia" w:hAnsiTheme="minorEastAsia" w:eastAsiaTheme="minorEastAsia" w:cstheme="minorEastAsia"/>
          <w:color w:val="auto"/>
          <w:sz w:val="24"/>
          <w:szCs w:val="24"/>
          <w:highlight w:val="none"/>
          <w:u w:val="single"/>
          <w:lang w:val="en-GB"/>
        </w:rPr>
        <w:t>文件时，须向</w:t>
      </w:r>
      <w:r>
        <w:rPr>
          <w:rFonts w:hint="eastAsia" w:asciiTheme="minorEastAsia" w:hAnsiTheme="minorEastAsia" w:eastAsiaTheme="minorEastAsia" w:cstheme="minorEastAsia"/>
          <w:color w:val="auto"/>
          <w:sz w:val="24"/>
          <w:szCs w:val="24"/>
          <w:highlight w:val="none"/>
          <w:u w:val="single"/>
          <w:lang w:val="en-GB" w:eastAsia="zh-CN"/>
        </w:rPr>
        <w:t>招标代理机构</w:t>
      </w:r>
      <w:r>
        <w:rPr>
          <w:rFonts w:hint="eastAsia" w:asciiTheme="minorEastAsia" w:hAnsiTheme="minorEastAsia" w:eastAsiaTheme="minorEastAsia" w:cstheme="minorEastAsia"/>
          <w:color w:val="auto"/>
          <w:sz w:val="24"/>
          <w:szCs w:val="24"/>
          <w:highlight w:val="none"/>
          <w:u w:val="single"/>
          <w:lang w:val="en-GB"/>
        </w:rPr>
        <w:t>人员出示此份证明书的原件，否则，</w:t>
      </w:r>
      <w:r>
        <w:rPr>
          <w:rFonts w:hint="eastAsia" w:asciiTheme="minorEastAsia" w:hAnsiTheme="minorEastAsia" w:eastAsiaTheme="minorEastAsia" w:cstheme="minorEastAsia"/>
          <w:color w:val="auto"/>
          <w:sz w:val="24"/>
          <w:szCs w:val="24"/>
          <w:highlight w:val="none"/>
          <w:u w:val="single"/>
          <w:lang w:val="en-GB" w:eastAsia="zh-CN"/>
        </w:rPr>
        <w:t>招标代理机构</w:t>
      </w:r>
      <w:r>
        <w:rPr>
          <w:rFonts w:hint="eastAsia" w:asciiTheme="minorEastAsia" w:hAnsiTheme="minorEastAsia" w:eastAsiaTheme="minorEastAsia" w:cstheme="minorEastAsia"/>
          <w:color w:val="auto"/>
          <w:sz w:val="24"/>
          <w:szCs w:val="24"/>
          <w:highlight w:val="none"/>
          <w:u w:val="single"/>
          <w:lang w:val="en-GB"/>
        </w:rPr>
        <w:t>将</w:t>
      </w:r>
      <w:r>
        <w:rPr>
          <w:rFonts w:hint="eastAsia" w:asciiTheme="minorEastAsia" w:hAnsiTheme="minorEastAsia" w:eastAsiaTheme="minorEastAsia" w:cstheme="minorEastAsia"/>
          <w:color w:val="auto"/>
          <w:sz w:val="24"/>
          <w:szCs w:val="24"/>
          <w:highlight w:val="none"/>
          <w:u w:val="single"/>
        </w:rPr>
        <w:t>有权</w:t>
      </w:r>
      <w:r>
        <w:rPr>
          <w:rFonts w:hint="eastAsia" w:asciiTheme="minorEastAsia" w:hAnsiTheme="minorEastAsia" w:eastAsiaTheme="minorEastAsia" w:cstheme="minorEastAsia"/>
          <w:color w:val="auto"/>
          <w:sz w:val="24"/>
          <w:szCs w:val="24"/>
          <w:highlight w:val="none"/>
          <w:u w:val="single"/>
          <w:lang w:val="en-GB"/>
        </w:rPr>
        <w:t>拒收其</w:t>
      </w:r>
      <w:r>
        <w:rPr>
          <w:rFonts w:hint="eastAsia" w:asciiTheme="minorEastAsia" w:hAnsiTheme="minorEastAsia" w:eastAsiaTheme="minorEastAsia" w:cstheme="minorEastAsia"/>
          <w:color w:val="auto"/>
          <w:sz w:val="24"/>
          <w:szCs w:val="24"/>
          <w:highlight w:val="none"/>
          <w:u w:val="single"/>
          <w:lang w:val="en-GB" w:eastAsia="zh-CN"/>
        </w:rPr>
        <w:t>资格审查</w:t>
      </w:r>
      <w:r>
        <w:rPr>
          <w:rFonts w:hint="eastAsia" w:asciiTheme="minorEastAsia" w:hAnsiTheme="minorEastAsia" w:eastAsiaTheme="minorEastAsia" w:cstheme="minorEastAsia"/>
          <w:color w:val="auto"/>
          <w:sz w:val="24"/>
          <w:szCs w:val="24"/>
          <w:highlight w:val="none"/>
          <w:u w:val="single"/>
          <w:lang w:val="en-GB"/>
        </w:rPr>
        <w:t>文件。</w:t>
      </w:r>
    </w:p>
    <w:p>
      <w:pPr>
        <w:spacing w:line="264" w:lineRule="auto"/>
        <w:ind w:left="780" w:leftChars="200" w:hanging="360" w:hangingChars="150"/>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val="en-GB"/>
        </w:rPr>
        <w:t>2、本授权书内容不得擅自删改。如法定代表人（或负责人）亲临现场参与</w:t>
      </w:r>
      <w:r>
        <w:rPr>
          <w:rFonts w:hint="eastAsia" w:asciiTheme="minorEastAsia" w:hAnsiTheme="minorEastAsia" w:eastAsiaTheme="minorEastAsia" w:cstheme="minorEastAsia"/>
          <w:color w:val="auto"/>
          <w:sz w:val="24"/>
          <w:szCs w:val="24"/>
          <w:highlight w:val="none"/>
          <w:lang w:val="en-GB" w:eastAsia="zh-CN"/>
        </w:rPr>
        <w:t>竞投</w:t>
      </w:r>
      <w:r>
        <w:rPr>
          <w:rFonts w:hint="eastAsia" w:asciiTheme="minorEastAsia" w:hAnsiTheme="minorEastAsia" w:eastAsiaTheme="minorEastAsia" w:cstheme="minorEastAsia"/>
          <w:color w:val="auto"/>
          <w:sz w:val="24"/>
          <w:szCs w:val="24"/>
          <w:highlight w:val="none"/>
          <w:lang w:val="en-GB"/>
        </w:rPr>
        <w:t>、决策、签字的，则不需此函。</w:t>
      </w:r>
    </w:p>
    <w:p>
      <w:pPr>
        <w:rPr>
          <w:b/>
          <w:color w:val="auto"/>
          <w:highlight w:val="none"/>
          <w:lang w:val="en-GB"/>
        </w:rPr>
      </w:pPr>
      <w:r>
        <w:rPr>
          <w:rFonts w:hint="eastAsia"/>
          <w:b/>
          <w:color w:val="auto"/>
          <w:highlight w:val="none"/>
          <w:lang w:val="en-GB"/>
        </w:rPr>
        <w:t>附：被授权人的身份证复印件：</w:t>
      </w:r>
    </w:p>
    <w:tbl>
      <w:tblPr>
        <w:tblStyle w:val="19"/>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trPr>
        <w:tc>
          <w:tcPr>
            <w:tcW w:w="9396" w:type="dxa"/>
            <w:noWrap w:val="0"/>
            <w:vAlign w:val="center"/>
          </w:tcPr>
          <w:p>
            <w:pPr>
              <w:spacing w:line="300" w:lineRule="auto"/>
              <w:jc w:val="center"/>
              <w:rPr>
                <w:rFonts w:hAnsi="宋体"/>
                <w:color w:val="auto"/>
                <w:sz w:val="24"/>
                <w:highlight w:val="none"/>
              </w:rPr>
            </w:pPr>
            <w:r>
              <w:rPr>
                <w:rFonts w:hint="eastAsia" w:hAnsi="宋体"/>
                <w:color w:val="auto"/>
                <w:sz w:val="24"/>
                <w:highlight w:val="none"/>
              </w:rPr>
              <w:t>此处粘贴授权代表（被授权人）的身份证复印件（双面）</w:t>
            </w:r>
          </w:p>
          <w:p>
            <w:pPr>
              <w:spacing w:line="300" w:lineRule="auto"/>
              <w:jc w:val="center"/>
              <w:rPr>
                <w:rFonts w:hAnsi="宋体"/>
                <w:color w:val="auto"/>
                <w:sz w:val="24"/>
                <w:highlight w:val="none"/>
              </w:rPr>
            </w:pPr>
            <w:r>
              <w:rPr>
                <w:rFonts w:hint="eastAsia" w:hAnsi="宋体"/>
                <w:color w:val="auto"/>
                <w:sz w:val="24"/>
                <w:highlight w:val="none"/>
              </w:rPr>
              <w:t>或直接扫描到此张纸上</w:t>
            </w:r>
          </w:p>
          <w:p>
            <w:pPr>
              <w:spacing w:line="300" w:lineRule="auto"/>
              <w:jc w:val="center"/>
              <w:rPr>
                <w:rFonts w:ascii="宋体"/>
                <w:color w:val="auto"/>
                <w:sz w:val="24"/>
                <w:highlight w:val="none"/>
              </w:rPr>
            </w:pPr>
            <w:r>
              <w:rPr>
                <w:rFonts w:hint="eastAsia" w:hAnsi="宋体"/>
                <w:color w:val="auto"/>
                <w:sz w:val="24"/>
                <w:highlight w:val="none"/>
              </w:rPr>
              <w:t>注：若页面不够位置的，可另行附页，但须紧接此页。</w:t>
            </w:r>
          </w:p>
        </w:tc>
      </w:tr>
    </w:tbl>
    <w:p>
      <w:pPr>
        <w:pStyle w:val="8"/>
        <w:spacing w:after="0" w:line="240" w:lineRule="exact"/>
        <w:ind w:firstLine="480" w:firstLineChars="200"/>
        <w:rPr>
          <w:color w:val="auto"/>
          <w:sz w:val="24"/>
          <w:szCs w:val="24"/>
          <w:highlight w:val="none"/>
        </w:rPr>
      </w:pPr>
      <w:r>
        <w:rPr>
          <w:color w:val="auto"/>
          <w:sz w:val="24"/>
          <w:szCs w:val="24"/>
          <w:highlight w:val="none"/>
        </w:rPr>
        <w:br w:type="page"/>
      </w:r>
    </w:p>
    <w:p>
      <w:pPr>
        <w:spacing w:after="120" w:afterLines="50" w:line="240" w:lineRule="auto"/>
        <w:jc w:val="center"/>
        <w:outlineLvl w:val="2"/>
        <w:rPr>
          <w:rFonts w:hint="eastAsia" w:ascii="宋体" w:hAnsi="宋体" w:eastAsia="宋体"/>
          <w:b/>
          <w:color w:val="auto"/>
          <w:sz w:val="36"/>
          <w:szCs w:val="36"/>
          <w:highlight w:val="none"/>
          <w:lang w:eastAsia="zh-CN"/>
        </w:rPr>
      </w:pPr>
      <w:bookmarkStart w:id="109" w:name="_Toc16371"/>
      <w:bookmarkStart w:id="110" w:name="_Toc13163"/>
      <w:bookmarkStart w:id="111" w:name="_Toc71"/>
      <w:bookmarkStart w:id="112" w:name="_Toc10658"/>
      <w:bookmarkStart w:id="113" w:name="_Toc22881"/>
      <w:bookmarkStart w:id="114" w:name="_Toc16930"/>
      <w:bookmarkStart w:id="115" w:name="_Toc31397"/>
      <w:bookmarkStart w:id="116" w:name="_Toc19084"/>
      <w:r>
        <w:rPr>
          <w:rFonts w:ascii="宋体" w:hAnsi="宋体"/>
          <w:b/>
          <w:color w:val="auto"/>
          <w:sz w:val="36"/>
          <w:szCs w:val="36"/>
          <w:highlight w:val="none"/>
        </w:rPr>
        <w:t>1.</w:t>
      </w:r>
      <w:r>
        <w:rPr>
          <w:rFonts w:hint="eastAsia" w:ascii="宋体" w:hAnsi="宋体"/>
          <w:b/>
          <w:color w:val="auto"/>
          <w:sz w:val="36"/>
          <w:szCs w:val="36"/>
          <w:highlight w:val="none"/>
          <w:lang w:val="en-US" w:eastAsia="zh-CN"/>
        </w:rPr>
        <w:t>3</w:t>
      </w:r>
      <w:r>
        <w:rPr>
          <w:rFonts w:hint="eastAsia" w:ascii="宋体" w:hAnsi="宋体"/>
          <w:b/>
          <w:color w:val="auto"/>
          <w:sz w:val="36"/>
          <w:szCs w:val="36"/>
          <w:highlight w:val="none"/>
          <w:lang w:eastAsia="zh-CN"/>
        </w:rPr>
        <w:t>竞投</w:t>
      </w:r>
      <w:r>
        <w:rPr>
          <w:rFonts w:hint="eastAsia" w:ascii="宋体" w:hAnsi="宋体"/>
          <w:b/>
          <w:color w:val="auto"/>
          <w:sz w:val="36"/>
          <w:szCs w:val="36"/>
          <w:highlight w:val="none"/>
        </w:rPr>
        <w:t>承诺函</w:t>
      </w:r>
      <w:bookmarkEnd w:id="109"/>
      <w:bookmarkEnd w:id="110"/>
      <w:bookmarkEnd w:id="111"/>
      <w:bookmarkEnd w:id="112"/>
      <w:bookmarkEnd w:id="113"/>
      <w:bookmarkEnd w:id="114"/>
      <w:bookmarkEnd w:id="115"/>
      <w:bookmarkEnd w:id="116"/>
    </w:p>
    <w:p>
      <w:pPr>
        <w:keepNext w:val="0"/>
        <w:keepLines w:val="0"/>
        <w:pageBreakBefore w:val="0"/>
        <w:kinsoku/>
        <w:wordWrap/>
        <w:overflowPunct/>
        <w:topLinePunct w:val="0"/>
        <w:autoSpaceDE/>
        <w:autoSpaceDN/>
        <w:bidi w:val="0"/>
        <w:adjustRightInd/>
        <w:snapToGrid/>
        <w:spacing w:after="72" w:afterLines="30" w:line="440" w:lineRule="exac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致：</w:t>
      </w:r>
      <w:r>
        <w:rPr>
          <w:rFonts w:hint="eastAsia" w:ascii="宋体" w:hAnsi="宋体" w:cs="宋体"/>
          <w:b/>
          <w:color w:val="auto"/>
          <w:sz w:val="24"/>
          <w:szCs w:val="24"/>
          <w:highlight w:val="none"/>
          <w:lang w:eastAsia="zh-CN"/>
        </w:rPr>
        <w:t>佛山市禅城区南庄镇吉利村竹甫经济合作社</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广东中采招标有限公司</w:t>
      </w:r>
    </w:p>
    <w:p>
      <w:pPr>
        <w:keepNext w:val="0"/>
        <w:keepLines w:val="0"/>
        <w:pageBreakBefore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我方根据《</w:t>
      </w:r>
      <w:r>
        <w:rPr>
          <w:rFonts w:hint="eastAsia" w:ascii="宋体" w:hAnsi="宋体" w:eastAsia="宋体" w:cs="宋体"/>
          <w:color w:val="auto"/>
          <w:sz w:val="24"/>
          <w:szCs w:val="24"/>
          <w:highlight w:val="none"/>
          <w:lang w:eastAsia="zh-CN"/>
        </w:rPr>
        <w:t>竞投文件</w:t>
      </w:r>
      <w:r>
        <w:rPr>
          <w:rFonts w:hint="eastAsia" w:ascii="宋体" w:hAnsi="宋体" w:eastAsia="宋体" w:cs="宋体"/>
          <w:color w:val="auto"/>
          <w:sz w:val="24"/>
          <w:szCs w:val="24"/>
          <w:highlight w:val="none"/>
        </w:rPr>
        <w:t>》的要求，通过委任的全权代表，向贵方递交密封册装的全套</w:t>
      </w:r>
      <w:r>
        <w:rPr>
          <w:rFonts w:hint="eastAsia" w:ascii="宋体" w:hAnsi="宋体" w:eastAsia="宋体" w:cs="宋体"/>
          <w:color w:val="auto"/>
          <w:sz w:val="24"/>
          <w:szCs w:val="24"/>
          <w:highlight w:val="none"/>
          <w:lang w:eastAsia="zh-CN"/>
        </w:rPr>
        <w:t>资格审查</w:t>
      </w:r>
      <w:r>
        <w:rPr>
          <w:rFonts w:hint="eastAsia" w:ascii="宋体" w:hAnsi="宋体" w:eastAsia="宋体" w:cs="宋体"/>
          <w:color w:val="auto"/>
          <w:sz w:val="24"/>
          <w:szCs w:val="24"/>
          <w:highlight w:val="none"/>
        </w:rPr>
        <w:t>文件参与下列项目的</w:t>
      </w:r>
      <w:r>
        <w:rPr>
          <w:rFonts w:hint="eastAsia" w:ascii="宋体" w:hAnsi="宋体" w:eastAsia="宋体" w:cs="宋体"/>
          <w:color w:val="auto"/>
          <w:sz w:val="24"/>
          <w:szCs w:val="24"/>
          <w:highlight w:val="none"/>
          <w:lang w:eastAsia="zh-CN"/>
        </w:rPr>
        <w:t>竞投</w:t>
      </w:r>
      <w:r>
        <w:rPr>
          <w:rFonts w:hint="eastAsia" w:ascii="宋体" w:hAnsi="宋体" w:eastAsia="宋体" w:cs="宋体"/>
          <w:color w:val="auto"/>
          <w:sz w:val="24"/>
          <w:szCs w:val="24"/>
          <w:highlight w:val="none"/>
        </w:rPr>
        <w:t>，现为我方的一切</w:t>
      </w:r>
      <w:r>
        <w:rPr>
          <w:rFonts w:hint="eastAsia" w:ascii="宋体" w:hAnsi="宋体" w:eastAsia="宋体" w:cs="宋体"/>
          <w:color w:val="auto"/>
          <w:sz w:val="24"/>
          <w:szCs w:val="24"/>
          <w:highlight w:val="none"/>
          <w:lang w:eastAsia="zh-CN"/>
        </w:rPr>
        <w:t>竞投</w:t>
      </w:r>
      <w:r>
        <w:rPr>
          <w:rFonts w:hint="eastAsia" w:ascii="宋体" w:hAnsi="宋体" w:eastAsia="宋体" w:cs="宋体"/>
          <w:color w:val="auto"/>
          <w:sz w:val="24"/>
          <w:szCs w:val="24"/>
          <w:highlight w:val="none"/>
        </w:rPr>
        <w:t>行为作</w:t>
      </w:r>
      <w:r>
        <w:rPr>
          <w:rFonts w:hint="eastAsia" w:ascii="宋体" w:hAnsi="宋体" w:eastAsia="宋体" w:cs="宋体"/>
          <w:bCs/>
          <w:color w:val="auto"/>
          <w:sz w:val="24"/>
          <w:szCs w:val="24"/>
          <w:highlight w:val="none"/>
        </w:rPr>
        <w:t>郑重承诺及声明如下：</w:t>
      </w:r>
    </w:p>
    <w:p>
      <w:pPr>
        <w:keepNext w:val="0"/>
        <w:keepLines w:val="0"/>
        <w:pageBreakBefore w:val="0"/>
        <w:numPr>
          <w:ilvl w:val="0"/>
          <w:numId w:val="47"/>
        </w:numPr>
        <w:tabs>
          <w:tab w:val="clear" w:pos="420"/>
        </w:tabs>
        <w:kinsoku/>
        <w:wordWrap/>
        <w:overflowPunct/>
        <w:topLinePunct w:val="0"/>
        <w:autoSpaceDE/>
        <w:autoSpaceDN/>
        <w:bidi w:val="0"/>
        <w:adjustRightInd/>
        <w:snapToGrid/>
        <w:spacing w:line="440" w:lineRule="exact"/>
        <w:ind w:left="420" w:leftChars="0" w:hanging="420" w:hanging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吉利上二村车辆停放管理服务</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DOCVARIABLE  项目名称  \* MERGEFORMAT </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DOCVARIABLE  采购编号  \* MERGEFORMAT </w:instrText>
      </w:r>
      <w:r>
        <w:rPr>
          <w:rFonts w:hint="eastAsia" w:ascii="宋体" w:hAnsi="宋体" w:eastAsia="宋体" w:cs="宋体"/>
          <w:color w:val="auto"/>
          <w:sz w:val="24"/>
          <w:szCs w:val="24"/>
          <w:highlight w:val="none"/>
        </w:rPr>
        <w:fldChar w:fldCharType="end"/>
      </w:r>
    </w:p>
    <w:p>
      <w:pPr>
        <w:keepNext w:val="0"/>
        <w:keepLines w:val="0"/>
        <w:pageBreakBefore w:val="0"/>
        <w:numPr>
          <w:ilvl w:val="0"/>
          <w:numId w:val="47"/>
        </w:numPr>
        <w:tabs>
          <w:tab w:val="left" w:pos="9000"/>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我方已认真阅读了全部</w:t>
      </w:r>
      <w:r>
        <w:rPr>
          <w:rFonts w:hint="eastAsia" w:ascii="宋体" w:hAnsi="宋体" w:eastAsia="宋体" w:cs="宋体"/>
          <w:color w:val="auto"/>
          <w:sz w:val="24"/>
          <w:szCs w:val="24"/>
          <w:highlight w:val="none"/>
          <w:lang w:eastAsia="zh-CN"/>
        </w:rPr>
        <w:t>竞投文件</w:t>
      </w:r>
      <w:r>
        <w:rPr>
          <w:rFonts w:hint="eastAsia" w:ascii="宋体" w:hAnsi="宋体" w:eastAsia="宋体" w:cs="宋体"/>
          <w:color w:val="auto"/>
          <w:sz w:val="24"/>
          <w:szCs w:val="24"/>
          <w:highlight w:val="none"/>
        </w:rPr>
        <w:t>及其相关文件，完全清楚理解其内容要求及规约，对文件的合理性、公正性和程序安排均没有任何异议、质疑和误解之处。</w:t>
      </w:r>
    </w:p>
    <w:p>
      <w:pPr>
        <w:keepNext w:val="0"/>
        <w:keepLines w:val="0"/>
        <w:pageBreakBefore w:val="0"/>
        <w:numPr>
          <w:ilvl w:val="0"/>
          <w:numId w:val="47"/>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我方所提供的一切文件均已经过认真、严格的审核，其内容已充分表达了我方的真实意愿，没有任何遗漏、虚假、侵权之处，若出现违背诚实信用和商业道德之行为，愿独自承担相应的法律责任。</w:t>
      </w:r>
    </w:p>
    <w:p>
      <w:pPr>
        <w:keepNext w:val="0"/>
        <w:keepLines w:val="0"/>
        <w:pageBreakBefore w:val="0"/>
        <w:numPr>
          <w:ilvl w:val="0"/>
          <w:numId w:val="47"/>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本资格审查文件</w:t>
      </w:r>
      <w:r>
        <w:rPr>
          <w:rFonts w:hint="eastAsia" w:ascii="宋体" w:hAnsi="宋体" w:eastAsia="宋体" w:cs="宋体"/>
          <w:color w:val="auto"/>
          <w:sz w:val="24"/>
          <w:szCs w:val="24"/>
          <w:highlight w:val="none"/>
          <w:lang w:val="en-GB"/>
        </w:rPr>
        <w:t>自递交</w:t>
      </w:r>
      <w:r>
        <w:rPr>
          <w:rFonts w:hint="eastAsia" w:ascii="宋体" w:hAnsi="宋体" w:eastAsia="宋体" w:cs="宋体"/>
          <w:color w:val="auto"/>
          <w:sz w:val="24"/>
          <w:szCs w:val="24"/>
          <w:highlight w:val="none"/>
          <w:lang w:val="en-GB" w:eastAsia="zh-CN"/>
        </w:rPr>
        <w:t>竞投</w:t>
      </w:r>
      <w:r>
        <w:rPr>
          <w:rFonts w:hint="eastAsia" w:ascii="宋体" w:hAnsi="宋体" w:eastAsia="宋体" w:cs="宋体"/>
          <w:color w:val="auto"/>
          <w:sz w:val="24"/>
          <w:szCs w:val="24"/>
          <w:highlight w:val="none"/>
          <w:lang w:val="en-GB"/>
        </w:rPr>
        <w:t>文件之日起具有不少于</w:t>
      </w:r>
      <w:r>
        <w:rPr>
          <w:rFonts w:hint="eastAsia" w:ascii="宋体" w:hAnsi="宋体" w:eastAsia="宋体" w:cs="宋体"/>
          <w:color w:val="auto"/>
          <w:sz w:val="24"/>
          <w:szCs w:val="24"/>
          <w:highlight w:val="none"/>
          <w:u w:val="single"/>
          <w:lang w:val="en-US" w:eastAsia="zh-CN"/>
        </w:rPr>
        <w:t>60</w:t>
      </w:r>
      <w:r>
        <w:rPr>
          <w:rFonts w:hint="eastAsia" w:ascii="宋体" w:hAnsi="宋体" w:eastAsia="宋体" w:cs="宋体"/>
          <w:color w:val="auto"/>
          <w:sz w:val="24"/>
          <w:szCs w:val="24"/>
          <w:highlight w:val="none"/>
          <w:u w:val="single"/>
          <w:lang w:val="en-GB"/>
        </w:rPr>
        <w:t>天</w:t>
      </w:r>
      <w:r>
        <w:rPr>
          <w:rFonts w:hint="eastAsia" w:ascii="宋体" w:hAnsi="宋体" w:eastAsia="宋体" w:cs="宋体"/>
          <w:color w:val="auto"/>
          <w:sz w:val="24"/>
          <w:szCs w:val="24"/>
          <w:highlight w:val="none"/>
          <w:lang w:val="en-GB"/>
        </w:rPr>
        <w:t>的</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GB"/>
        </w:rPr>
        <w:t>有效期</w:t>
      </w:r>
      <w:r>
        <w:rPr>
          <w:rFonts w:hint="eastAsia" w:ascii="宋体" w:hAnsi="宋体" w:eastAsia="宋体" w:cs="宋体"/>
          <w:color w:val="auto"/>
          <w:sz w:val="24"/>
          <w:szCs w:val="24"/>
          <w:highlight w:val="none"/>
        </w:rPr>
        <w:t>，若我方获中标资格，</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有效期则相应延长至项目最终验收合格之日，不论在任何时候，定将按贵方的要求在规定时间内如实提供一切补充材料。</w:t>
      </w:r>
    </w:p>
    <w:p>
      <w:pPr>
        <w:keepNext w:val="0"/>
        <w:keepLines w:val="0"/>
        <w:pageBreakBefore w:val="0"/>
        <w:numPr>
          <w:ilvl w:val="0"/>
          <w:numId w:val="47"/>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清楚并同意</w:t>
      </w:r>
      <w:r>
        <w:rPr>
          <w:rFonts w:hint="eastAsia" w:ascii="宋体" w:hAnsi="宋体"/>
          <w:color w:val="auto"/>
          <w:sz w:val="24"/>
          <w:szCs w:val="24"/>
          <w:highlight w:val="none"/>
          <w:lang w:val="en-US" w:eastAsia="zh-CN"/>
        </w:rPr>
        <w:t>本项目竞投文件所述的所有带★条款要求。</w:t>
      </w:r>
    </w:p>
    <w:p>
      <w:pPr>
        <w:keepNext w:val="0"/>
        <w:keepLines w:val="0"/>
        <w:pageBreakBefore w:val="0"/>
        <w:numPr>
          <w:ilvl w:val="0"/>
          <w:numId w:val="47"/>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完全服从和尊重</w:t>
      </w:r>
      <w:r>
        <w:rPr>
          <w:rFonts w:hint="eastAsia" w:ascii="宋体" w:hAnsi="宋体" w:eastAsia="宋体" w:cs="宋体"/>
          <w:color w:val="auto"/>
          <w:sz w:val="24"/>
          <w:szCs w:val="24"/>
          <w:highlight w:val="none"/>
          <w:lang w:eastAsia="zh-CN"/>
        </w:rPr>
        <w:t>招标人和招标代理机构</w:t>
      </w:r>
      <w:r>
        <w:rPr>
          <w:rFonts w:hint="eastAsia" w:ascii="宋体" w:hAnsi="宋体" w:eastAsia="宋体" w:cs="宋体"/>
          <w:color w:val="auto"/>
          <w:sz w:val="24"/>
          <w:szCs w:val="24"/>
          <w:highlight w:val="none"/>
        </w:rPr>
        <w:t>所作的评审结果，同时清楚理解到</w:t>
      </w:r>
      <w:r>
        <w:rPr>
          <w:rFonts w:hint="eastAsia" w:ascii="宋体" w:hAnsi="宋体" w:eastAsia="宋体" w:cs="宋体"/>
          <w:color w:val="auto"/>
          <w:sz w:val="24"/>
          <w:szCs w:val="24"/>
          <w:highlight w:val="none"/>
          <w:lang w:eastAsia="zh-CN"/>
        </w:rPr>
        <w:t>必须通过资格审查方可参与</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lang w:eastAsia="zh-CN"/>
        </w:rPr>
        <w:t>竞投，通过</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lang w:eastAsia="zh-CN"/>
        </w:rPr>
        <w:t>竞投，竞投</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决定中标资格的唯一依据。</w:t>
      </w:r>
    </w:p>
    <w:p>
      <w:pPr>
        <w:keepNext w:val="0"/>
        <w:keepLines w:val="0"/>
        <w:pageBreakBefore w:val="0"/>
        <w:numPr>
          <w:ilvl w:val="0"/>
          <w:numId w:val="47"/>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同意按</w:t>
      </w:r>
      <w:r>
        <w:rPr>
          <w:rFonts w:hint="eastAsia" w:ascii="宋体" w:hAnsi="宋体" w:eastAsia="宋体" w:cs="宋体"/>
          <w:color w:val="auto"/>
          <w:sz w:val="24"/>
          <w:szCs w:val="24"/>
          <w:highlight w:val="none"/>
          <w:lang w:eastAsia="zh-CN"/>
        </w:rPr>
        <w:t>竞投文件</w:t>
      </w:r>
      <w:r>
        <w:rPr>
          <w:rFonts w:hint="eastAsia" w:ascii="宋体" w:hAnsi="宋体" w:eastAsia="宋体" w:cs="宋体"/>
          <w:color w:val="auto"/>
          <w:sz w:val="24"/>
          <w:szCs w:val="24"/>
          <w:highlight w:val="none"/>
        </w:rPr>
        <w:t>的要求认真履行中标人应尽的义务，若我方行为不当而损害了</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的合法权益，我方愿在任何时候无条件承担相应的缔约过失责任和经济赔偿。</w:t>
      </w:r>
    </w:p>
    <w:p>
      <w:pPr>
        <w:keepNext w:val="0"/>
        <w:keepLines w:val="0"/>
        <w:pageBreakBefore w:val="0"/>
        <w:numPr>
          <w:ilvl w:val="0"/>
          <w:numId w:val="47"/>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lang w:eastAsia="zh-CN"/>
        </w:rPr>
        <w:t>具备独立法人资格，营业执照在有效期内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提供营业执照副本复印件</w:t>
      </w:r>
      <w:r>
        <w:rPr>
          <w:rFonts w:hint="eastAsia" w:ascii="宋体" w:hAnsi="宋体" w:eastAsia="宋体" w:cs="宋体"/>
          <w:color w:val="auto"/>
          <w:sz w:val="24"/>
          <w:szCs w:val="24"/>
          <w:highlight w:val="none"/>
        </w:rPr>
        <w:t>以便核查。</w:t>
      </w:r>
    </w:p>
    <w:p>
      <w:pPr>
        <w:keepNext w:val="0"/>
        <w:keepLines w:val="0"/>
        <w:pageBreakBefore w:val="0"/>
        <w:numPr>
          <w:ilvl w:val="0"/>
          <w:numId w:val="47"/>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lang w:eastAsia="zh-CN"/>
        </w:rPr>
        <w:t>具有竞投文件所要求的全部资格</w:t>
      </w:r>
      <w:r>
        <w:rPr>
          <w:rFonts w:hint="eastAsia" w:ascii="宋体" w:hAnsi="宋体" w:eastAsia="宋体" w:cs="宋体"/>
          <w:color w:val="auto"/>
          <w:sz w:val="24"/>
          <w:szCs w:val="24"/>
          <w:highlight w:val="none"/>
        </w:rPr>
        <w:t>，可随时向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提交相关证明材料，以便核查。</w:t>
      </w:r>
    </w:p>
    <w:p>
      <w:pPr>
        <w:keepNext w:val="0"/>
        <w:keepLines w:val="0"/>
        <w:pageBreakBefore w:val="0"/>
        <w:numPr>
          <w:ilvl w:val="0"/>
          <w:numId w:val="47"/>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我方在参与本次</w:t>
      </w:r>
      <w:r>
        <w:rPr>
          <w:rFonts w:hint="eastAsia" w:ascii="宋体" w:hAnsi="宋体" w:eastAsia="宋体" w:cs="宋体"/>
          <w:color w:val="auto"/>
          <w:sz w:val="24"/>
          <w:szCs w:val="24"/>
          <w:highlight w:val="none"/>
          <w:lang w:eastAsia="zh-CN"/>
        </w:rPr>
        <w:t>竞投</w:t>
      </w:r>
      <w:r>
        <w:rPr>
          <w:rFonts w:hint="eastAsia" w:ascii="宋体" w:hAnsi="宋体" w:eastAsia="宋体" w:cs="宋体"/>
          <w:color w:val="auto"/>
          <w:sz w:val="24"/>
          <w:szCs w:val="24"/>
          <w:highlight w:val="none"/>
        </w:rPr>
        <w:t>活动中，不曾以任何不正当的手段影响、串通、排斥有关当事人或谋取、施予非法利益，如有行为不当，愿独自承担此行为所造成的后果和法律责任。</w:t>
      </w:r>
    </w:p>
    <w:p>
      <w:pPr>
        <w:keepNext w:val="0"/>
        <w:keepLines w:val="0"/>
        <w:pageBreakBefore w:val="0"/>
        <w:numPr>
          <w:ilvl w:val="0"/>
          <w:numId w:val="47"/>
        </w:numPr>
        <w:tabs>
          <w:tab w:val="left" w:pos="720"/>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同意按</w:t>
      </w:r>
      <w:r>
        <w:rPr>
          <w:rFonts w:hint="eastAsia" w:ascii="宋体" w:hAnsi="宋体" w:eastAsia="宋体" w:cs="宋体"/>
          <w:color w:val="auto"/>
          <w:sz w:val="24"/>
          <w:szCs w:val="24"/>
          <w:highlight w:val="none"/>
          <w:lang w:eastAsia="zh-CN"/>
        </w:rPr>
        <w:t>竞投文件</w:t>
      </w:r>
      <w:r>
        <w:rPr>
          <w:rFonts w:hint="eastAsia" w:ascii="宋体" w:hAnsi="宋体" w:eastAsia="宋体" w:cs="宋体"/>
          <w:color w:val="auto"/>
          <w:sz w:val="24"/>
          <w:szCs w:val="24"/>
          <w:highlight w:val="none"/>
        </w:rPr>
        <w:t>规定向贵方缴纳</w:t>
      </w:r>
      <w:r>
        <w:rPr>
          <w:rFonts w:hint="eastAsia" w:ascii="宋体" w:hAnsi="宋体" w:eastAsia="宋体" w:cs="宋体"/>
          <w:color w:val="auto"/>
          <w:sz w:val="24"/>
          <w:szCs w:val="24"/>
          <w:highlight w:val="none"/>
          <w:lang w:eastAsia="zh-CN"/>
        </w:rPr>
        <w:t>招标代理费和评估费</w:t>
      </w:r>
      <w:r>
        <w:rPr>
          <w:rFonts w:hint="eastAsia" w:ascii="宋体" w:hAnsi="宋体" w:eastAsia="宋体" w:cs="宋体"/>
          <w:color w:val="auto"/>
          <w:sz w:val="24"/>
          <w:szCs w:val="24"/>
          <w:highlight w:val="none"/>
        </w:rPr>
        <w:t>，并按《</w:t>
      </w:r>
      <w:r>
        <w:rPr>
          <w:rFonts w:hint="eastAsia" w:ascii="宋体" w:hAnsi="宋体" w:cs="宋体"/>
          <w:color w:val="auto"/>
          <w:sz w:val="24"/>
          <w:szCs w:val="24"/>
          <w:highlight w:val="none"/>
          <w:lang w:eastAsia="zh-CN"/>
        </w:rPr>
        <w:t>中标通知书</w:t>
      </w:r>
      <w:r>
        <w:rPr>
          <w:rFonts w:hint="eastAsia" w:ascii="宋体" w:hAnsi="宋体" w:eastAsia="宋体" w:cs="宋体"/>
          <w:color w:val="auto"/>
          <w:sz w:val="24"/>
          <w:szCs w:val="24"/>
          <w:highlight w:val="none"/>
        </w:rPr>
        <w:t>》的要求，如期签订合同并履行其一切责任和义务。</w:t>
      </w:r>
    </w:p>
    <w:p>
      <w:pPr>
        <w:keepNext w:val="0"/>
        <w:keepLines w:val="0"/>
        <w:pageBreakBefore w:val="0"/>
        <w:numPr>
          <w:ilvl w:val="0"/>
          <w:numId w:val="47"/>
        </w:numPr>
        <w:tabs>
          <w:tab w:val="left" w:pos="720"/>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我方不存在</w:t>
      </w:r>
      <w:r>
        <w:rPr>
          <w:rFonts w:hint="eastAsia" w:ascii="宋体" w:hAnsi="宋体" w:cs="宋体"/>
          <w:color w:val="auto"/>
          <w:sz w:val="24"/>
          <w:highlight w:val="none"/>
        </w:rPr>
        <w:t>单位负责人为同一人或者存在控股、管理关系的不同单位参加</w:t>
      </w:r>
      <w:r>
        <w:rPr>
          <w:rFonts w:hint="eastAsia" w:ascii="宋体" w:hAnsi="宋体" w:cs="宋体"/>
          <w:color w:val="auto"/>
          <w:sz w:val="24"/>
          <w:highlight w:val="none"/>
          <w:lang w:eastAsia="zh-CN"/>
        </w:rPr>
        <w:t>本</w:t>
      </w:r>
      <w:r>
        <w:rPr>
          <w:rFonts w:hint="eastAsia" w:ascii="宋体" w:hAnsi="宋体" w:cs="宋体"/>
          <w:color w:val="auto"/>
          <w:sz w:val="24"/>
          <w:highlight w:val="none"/>
        </w:rPr>
        <w:t>项目投标</w:t>
      </w:r>
      <w:r>
        <w:rPr>
          <w:rFonts w:hint="eastAsia" w:ascii="宋体" w:hAnsi="宋体" w:cs="宋体"/>
          <w:color w:val="auto"/>
          <w:sz w:val="24"/>
          <w:highlight w:val="none"/>
          <w:lang w:eastAsia="zh-CN"/>
        </w:rPr>
        <w:t>的情况</w:t>
      </w:r>
      <w:r>
        <w:rPr>
          <w:rFonts w:hint="eastAsia" w:ascii="宋体" w:hAnsi="宋体" w:cs="宋体"/>
          <w:color w:val="auto"/>
          <w:sz w:val="24"/>
          <w:highlight w:val="none"/>
        </w:rPr>
        <w:t>；</w:t>
      </w:r>
    </w:p>
    <w:p>
      <w:pPr>
        <w:keepNext w:val="0"/>
        <w:keepLines w:val="0"/>
        <w:pageBreakBefore w:val="0"/>
        <w:numPr>
          <w:ilvl w:val="0"/>
          <w:numId w:val="47"/>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本承诺函效力及范围均涵盖我方整套</w:t>
      </w:r>
      <w:r>
        <w:rPr>
          <w:rFonts w:hint="eastAsia" w:ascii="宋体" w:hAnsi="宋体" w:eastAsia="宋体" w:cs="宋体"/>
          <w:color w:val="auto"/>
          <w:sz w:val="24"/>
          <w:szCs w:val="24"/>
          <w:highlight w:val="none"/>
          <w:lang w:eastAsia="zh-CN"/>
        </w:rPr>
        <w:t>资格审查</w:t>
      </w:r>
      <w:r>
        <w:rPr>
          <w:rFonts w:hint="eastAsia" w:ascii="宋体" w:hAnsi="宋体" w:eastAsia="宋体" w:cs="宋体"/>
          <w:color w:val="auto"/>
          <w:sz w:val="24"/>
          <w:szCs w:val="24"/>
          <w:highlight w:val="none"/>
        </w:rPr>
        <w:t>文件和一切补充文件。</w:t>
      </w:r>
    </w:p>
    <w:p>
      <w:pPr>
        <w:pStyle w:val="2"/>
        <w:rPr>
          <w:rFonts w:hint="eastAsia"/>
          <w:color w:val="auto"/>
          <w:highlight w:val="none"/>
          <w:lang w:val="en-GB"/>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GB" w:eastAsia="zh-CN"/>
        </w:rPr>
        <w:t>投标人</w:t>
      </w:r>
      <w:r>
        <w:rPr>
          <w:rFonts w:hint="eastAsia" w:ascii="宋体" w:hAnsi="宋体" w:eastAsia="宋体" w:cs="宋体"/>
          <w:color w:val="auto"/>
          <w:sz w:val="24"/>
          <w:szCs w:val="24"/>
          <w:highlight w:val="none"/>
          <w:lang w:val="en-GB"/>
        </w:rPr>
        <w:t>名称：</w:t>
      </w:r>
      <w:r>
        <w:rPr>
          <w:rFonts w:hint="eastAsia" w:ascii="宋体" w:hAnsi="宋体" w:eastAsia="宋体" w:cs="宋体"/>
          <w:color w:val="auto"/>
          <w:sz w:val="24"/>
          <w:szCs w:val="24"/>
          <w:highlight w:val="none"/>
          <w:u w:val="dotted"/>
          <w:lang w:val="en-GB"/>
        </w:rPr>
        <w:t>（全称）</w:t>
      </w:r>
      <w:r>
        <w:rPr>
          <w:rFonts w:hint="eastAsia" w:ascii="宋体" w:hAnsi="宋体" w:eastAsia="宋体" w:cs="宋体"/>
          <w:color w:val="auto"/>
          <w:sz w:val="24"/>
          <w:szCs w:val="24"/>
          <w:highlight w:val="none"/>
          <w:lang w:val="en-GB"/>
        </w:rPr>
        <w:t>（加盖</w:t>
      </w:r>
      <w:r>
        <w:rPr>
          <w:rFonts w:hint="eastAsia" w:ascii="宋体" w:hAnsi="宋体" w:cs="宋体"/>
          <w:color w:val="auto"/>
          <w:sz w:val="24"/>
          <w:szCs w:val="24"/>
          <w:highlight w:val="none"/>
          <w:lang w:val="en-GB" w:eastAsia="zh-CN"/>
        </w:rPr>
        <w:t>投标人</w:t>
      </w:r>
      <w:r>
        <w:rPr>
          <w:rFonts w:hint="eastAsia" w:ascii="宋体" w:hAnsi="宋体" w:eastAsia="宋体" w:cs="宋体"/>
          <w:color w:val="auto"/>
          <w:sz w:val="24"/>
          <w:szCs w:val="24"/>
          <w:highlight w:val="none"/>
          <w:lang w:val="en-GB"/>
        </w:rPr>
        <w:t>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GB" w:eastAsia="zh-CN"/>
        </w:rPr>
      </w:pPr>
      <w:r>
        <w:rPr>
          <w:rFonts w:hint="eastAsia" w:ascii="宋体" w:hAnsi="宋体" w:eastAsia="宋体" w:cs="宋体"/>
          <w:color w:val="auto"/>
          <w:sz w:val="24"/>
          <w:szCs w:val="24"/>
          <w:highlight w:val="none"/>
          <w:lang w:val="en-GB"/>
        </w:rPr>
        <w:t>法定代表人</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GB"/>
        </w:rPr>
        <w:t>（或授权代表）：（亲笔签名或签章）</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承诺日期：</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年月日。</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after="0" w:afterLines="0" w:line="240" w:lineRule="auto"/>
        <w:ind w:left="0" w:leftChars="0" w:right="363" w:rightChars="173"/>
        <w:jc w:val="center"/>
        <w:outlineLvl w:val="9"/>
        <w:rPr>
          <w:rFonts w:ascii="宋体"/>
          <w:b/>
          <w:color w:val="auto"/>
          <w:szCs w:val="21"/>
          <w:highlight w:val="none"/>
        </w:rPr>
      </w:pPr>
      <w:bookmarkStart w:id="117" w:name="_Toc13584"/>
      <w:bookmarkStart w:id="118" w:name="_Toc15939"/>
      <w:bookmarkStart w:id="119" w:name="_Toc4427"/>
      <w:bookmarkStart w:id="120" w:name="_Toc23201"/>
      <w:bookmarkStart w:id="121" w:name="_Toc13623"/>
      <w:bookmarkStart w:id="122" w:name="_Toc19853"/>
      <w:bookmarkStart w:id="123" w:name="_Toc31961"/>
    </w:p>
    <w:p>
      <w:pPr>
        <w:spacing w:after="0" w:afterLines="0" w:line="240" w:lineRule="auto"/>
        <w:ind w:left="0" w:leftChars="0" w:right="363" w:rightChars="173"/>
        <w:jc w:val="center"/>
        <w:outlineLvl w:val="9"/>
        <w:rPr>
          <w:rFonts w:hint="eastAsia" w:ascii="宋体" w:hAnsi="宋体" w:eastAsia="宋体"/>
          <w:b/>
          <w:color w:val="auto"/>
          <w:sz w:val="36"/>
          <w:szCs w:val="36"/>
          <w:highlight w:val="none"/>
          <w:lang w:eastAsia="zh-CN"/>
        </w:rPr>
      </w:pPr>
      <w:r>
        <w:rPr>
          <w:rFonts w:ascii="宋体" w:hAnsi="宋体"/>
          <w:b/>
          <w:color w:val="auto"/>
          <w:sz w:val="36"/>
          <w:szCs w:val="36"/>
          <w:highlight w:val="none"/>
        </w:rPr>
        <w:t>1.</w:t>
      </w:r>
      <w:r>
        <w:rPr>
          <w:rFonts w:hint="eastAsia" w:ascii="宋体" w:hAnsi="宋体"/>
          <w:b/>
          <w:color w:val="auto"/>
          <w:sz w:val="36"/>
          <w:szCs w:val="36"/>
          <w:highlight w:val="none"/>
          <w:lang w:val="en-US" w:eastAsia="zh-CN"/>
        </w:rPr>
        <w:t>4</w:t>
      </w:r>
      <w:r>
        <w:rPr>
          <w:rFonts w:hint="eastAsia" w:ascii="宋体" w:hAnsi="宋体"/>
          <w:b/>
          <w:color w:val="auto"/>
          <w:sz w:val="36"/>
          <w:szCs w:val="36"/>
          <w:highlight w:val="none"/>
          <w:lang w:eastAsia="zh-CN"/>
        </w:rPr>
        <w:t>投标人</w:t>
      </w:r>
      <w:r>
        <w:rPr>
          <w:rFonts w:hint="eastAsia" w:ascii="宋体" w:hAnsi="宋体"/>
          <w:b/>
          <w:color w:val="auto"/>
          <w:sz w:val="36"/>
          <w:szCs w:val="36"/>
          <w:highlight w:val="none"/>
        </w:rPr>
        <w:t>资格声明函</w:t>
      </w:r>
      <w:bookmarkEnd w:id="117"/>
      <w:bookmarkEnd w:id="118"/>
      <w:bookmarkEnd w:id="119"/>
      <w:bookmarkEnd w:id="120"/>
      <w:bookmarkEnd w:id="121"/>
      <w:bookmarkEnd w:id="122"/>
      <w:bookmarkEnd w:id="123"/>
    </w:p>
    <w:p>
      <w:pPr>
        <w:pStyle w:val="6"/>
        <w:rPr>
          <w:rFonts w:hint="eastAsia" w:ascii="宋体" w:hAnsi="宋体"/>
          <w:b/>
          <w:color w:val="auto"/>
          <w:sz w:val="36"/>
          <w:szCs w:val="36"/>
          <w:highlight w:val="none"/>
        </w:rPr>
      </w:pPr>
    </w:p>
    <w:p>
      <w:pPr>
        <w:rPr>
          <w:color w:val="auto"/>
          <w:highlight w:val="none"/>
        </w:rPr>
      </w:pPr>
    </w:p>
    <w:p>
      <w:pPr>
        <w:spacing w:line="360" w:lineRule="auto"/>
        <w:rPr>
          <w:rFonts w:hint="eastAsia" w:ascii="宋体" w:eastAsia="宋体"/>
          <w:b/>
          <w:bCs/>
          <w:color w:val="auto"/>
          <w:sz w:val="24"/>
          <w:szCs w:val="24"/>
          <w:highlight w:val="none"/>
          <w:lang w:eastAsia="zh-CN"/>
        </w:rPr>
      </w:pPr>
      <w:r>
        <w:rPr>
          <w:rFonts w:hint="eastAsia" w:ascii="宋体" w:hAnsi="宋体"/>
          <w:b/>
          <w:bCs/>
          <w:color w:val="auto"/>
          <w:sz w:val="24"/>
          <w:szCs w:val="24"/>
          <w:highlight w:val="none"/>
        </w:rPr>
        <w:t>致：</w:t>
      </w:r>
      <w:r>
        <w:rPr>
          <w:rFonts w:hint="eastAsia" w:ascii="宋体" w:hAnsi="宋体"/>
          <w:b/>
          <w:bCs/>
          <w:color w:val="auto"/>
          <w:sz w:val="24"/>
          <w:szCs w:val="24"/>
          <w:highlight w:val="none"/>
          <w:lang w:eastAsia="zh-CN"/>
        </w:rPr>
        <w:t>佛山市禅城区南庄镇吉利村竹甫经济合作社</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广东中采招标有限公司</w:t>
      </w:r>
    </w:p>
    <w:p>
      <w:pPr>
        <w:pStyle w:val="39"/>
        <w:spacing w:line="360" w:lineRule="auto"/>
        <w:ind w:firstLine="600" w:firstLineChars="25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我公司承诺具备</w:t>
      </w:r>
      <w:r>
        <w:rPr>
          <w:rFonts w:hint="eastAsia" w:ascii="宋体" w:hAnsi="宋体" w:eastAsia="宋体"/>
          <w:color w:val="auto"/>
          <w:sz w:val="24"/>
          <w:szCs w:val="24"/>
          <w:highlight w:val="none"/>
          <w:lang w:eastAsia="zh-CN"/>
        </w:rPr>
        <w:t>竞投文件所要求的资格</w:t>
      </w:r>
      <w:r>
        <w:rPr>
          <w:rFonts w:hint="eastAsia" w:ascii="宋体" w:hAnsi="宋体" w:eastAsia="宋体"/>
          <w:color w:val="auto"/>
          <w:sz w:val="24"/>
          <w:szCs w:val="24"/>
          <w:highlight w:val="none"/>
        </w:rPr>
        <w:t>条件。</w:t>
      </w:r>
    </w:p>
    <w:p>
      <w:pPr>
        <w:pStyle w:val="39"/>
        <w:numPr>
          <w:ilvl w:val="0"/>
          <w:numId w:val="48"/>
        </w:numPr>
        <w:spacing w:line="360" w:lineRule="auto"/>
        <w:ind w:left="425" w:leftChars="0" w:hanging="5" w:firstLineChars="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具有独立法人资格，营业执照处于有效期内</w:t>
      </w:r>
      <w:r>
        <w:rPr>
          <w:rFonts w:hint="eastAsia" w:ascii="宋体" w:hAnsi="宋体" w:eastAsia="宋体"/>
          <w:color w:val="auto"/>
          <w:sz w:val="24"/>
          <w:szCs w:val="24"/>
          <w:highlight w:val="none"/>
          <w:lang w:val="en-US" w:eastAsia="zh-CN"/>
        </w:rPr>
        <w:t>。</w:t>
      </w:r>
    </w:p>
    <w:p>
      <w:pPr>
        <w:pStyle w:val="39"/>
        <w:numPr>
          <w:ilvl w:val="0"/>
          <w:numId w:val="48"/>
        </w:numPr>
        <w:spacing w:line="360" w:lineRule="auto"/>
        <w:ind w:left="425" w:leftChars="0" w:hanging="5" w:firstLineChars="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本项目不接受联合体竞投。</w:t>
      </w:r>
    </w:p>
    <w:p>
      <w:pPr>
        <w:pStyle w:val="39"/>
        <w:numPr>
          <w:ilvl w:val="0"/>
          <w:numId w:val="48"/>
        </w:numPr>
        <w:spacing w:line="360" w:lineRule="auto"/>
        <w:ind w:left="425" w:leftChars="0" w:hanging="5" w:firstLineChars="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满足本项目竞投文件所述的所有带★条款要求。</w:t>
      </w:r>
    </w:p>
    <w:p>
      <w:pPr>
        <w:pStyle w:val="39"/>
        <w:numPr>
          <w:ilvl w:val="0"/>
          <w:numId w:val="48"/>
        </w:numPr>
        <w:spacing w:line="360" w:lineRule="auto"/>
        <w:ind w:left="425" w:leftChars="0" w:hanging="5" w:firstLineChars="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法律、行政法规规定的其他条件。</w:t>
      </w:r>
    </w:p>
    <w:p>
      <w:pPr>
        <w:pStyle w:val="39"/>
        <w:spacing w:line="360" w:lineRule="auto"/>
        <w:ind w:firstLine="600" w:firstLineChars="25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(1)单位负责人为同一人或者存在直接控股、管理关系的不同投标人，不得同时参加本项目竞投；</w:t>
      </w:r>
    </w:p>
    <w:p>
      <w:pPr>
        <w:pStyle w:val="39"/>
        <w:spacing w:line="360" w:lineRule="auto"/>
        <w:ind w:firstLine="600" w:firstLineChars="25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(2)投标单位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供应商需提供相关证明资料】。</w:t>
      </w:r>
    </w:p>
    <w:p>
      <w:pPr>
        <w:pStyle w:val="39"/>
        <w:spacing w:line="360" w:lineRule="auto"/>
        <w:ind w:firstLine="600" w:firstLineChars="25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注：提供的加盖公章的相关文件复印件请附后。</w:t>
      </w:r>
    </w:p>
    <w:p>
      <w:pPr>
        <w:pStyle w:val="39"/>
        <w:spacing w:line="360" w:lineRule="auto"/>
        <w:ind w:firstLine="600" w:firstLineChars="250"/>
        <w:rPr>
          <w:rFonts w:hint="eastAsia" w:ascii="宋体" w:hAnsi="宋体" w:eastAsia="宋体"/>
          <w:color w:val="auto"/>
          <w:sz w:val="24"/>
          <w:szCs w:val="24"/>
          <w:highlight w:val="none"/>
        </w:rPr>
      </w:pPr>
    </w:p>
    <w:p>
      <w:pPr>
        <w:pStyle w:val="39"/>
        <w:spacing w:line="360" w:lineRule="auto"/>
        <w:ind w:firstLine="600" w:firstLineChars="250"/>
        <w:rPr>
          <w:rFonts w:hint="eastAsia" w:ascii="宋体" w:hAnsi="宋体" w:eastAsia="宋体"/>
          <w:color w:val="auto"/>
          <w:sz w:val="24"/>
          <w:szCs w:val="24"/>
          <w:highlight w:val="none"/>
        </w:rPr>
      </w:pPr>
    </w:p>
    <w:p>
      <w:pPr>
        <w:pStyle w:val="39"/>
        <w:spacing w:line="360" w:lineRule="auto"/>
        <w:ind w:firstLine="600" w:firstLineChars="250"/>
        <w:rPr>
          <w:rFonts w:hint="eastAsia" w:ascii="宋体" w:hAnsi="宋体" w:eastAsia="宋体"/>
          <w:color w:val="auto"/>
          <w:sz w:val="24"/>
          <w:szCs w:val="24"/>
          <w:highlight w:val="none"/>
        </w:rPr>
      </w:pPr>
    </w:p>
    <w:p>
      <w:pPr>
        <w:pStyle w:val="39"/>
        <w:spacing w:line="360" w:lineRule="auto"/>
        <w:ind w:firstLine="600" w:firstLineChars="25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法定代表人/负责人（或授权代表）：（亲笔签字或签章）</w:t>
      </w:r>
    </w:p>
    <w:p>
      <w:pPr>
        <w:pStyle w:val="39"/>
        <w:spacing w:line="360" w:lineRule="auto"/>
        <w:ind w:firstLine="600" w:firstLineChars="25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名称：（加盖</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公章）</w:t>
      </w:r>
    </w:p>
    <w:p>
      <w:pPr>
        <w:pStyle w:val="39"/>
        <w:spacing w:line="360" w:lineRule="auto"/>
        <w:ind w:firstLine="600" w:firstLineChars="25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日期：</w:t>
      </w:r>
      <w:r>
        <w:rPr>
          <w:rFonts w:hint="eastAsia" w:ascii="宋体" w:hAnsi="宋体"/>
          <w:color w:val="auto"/>
          <w:sz w:val="24"/>
          <w:szCs w:val="24"/>
          <w:highlight w:val="none"/>
          <w:lang w:eastAsia="zh-CN"/>
        </w:rPr>
        <w:t>2024</w:t>
      </w:r>
      <w:r>
        <w:rPr>
          <w:rFonts w:hint="eastAsia" w:ascii="宋体" w:hAnsi="宋体" w:eastAsia="宋体"/>
          <w:color w:val="auto"/>
          <w:sz w:val="24"/>
          <w:szCs w:val="24"/>
          <w:highlight w:val="none"/>
        </w:rPr>
        <w:t>年月日</w:t>
      </w:r>
    </w:p>
    <w:p>
      <w:pPr>
        <w:spacing w:line="360" w:lineRule="auto"/>
        <w:ind w:left="420" w:leftChars="200"/>
        <w:rPr>
          <w:rFonts w:ascii="宋体"/>
          <w:color w:val="auto"/>
          <w:sz w:val="28"/>
          <w:szCs w:val="28"/>
          <w:highlight w:val="none"/>
        </w:rPr>
      </w:pPr>
    </w:p>
    <w:p>
      <w:pPr>
        <w:rPr>
          <w:rFonts w:hint="eastAsia" w:ascii="宋体" w:hAnsi="宋体"/>
          <w:b/>
          <w:color w:val="auto"/>
          <w:sz w:val="36"/>
          <w:szCs w:val="36"/>
          <w:highlight w:val="none"/>
          <w:lang w:eastAsia="zh-CN"/>
        </w:rPr>
      </w:pPr>
      <w:bookmarkStart w:id="124" w:name="_Toc2432"/>
      <w:bookmarkEnd w:id="124"/>
      <w:bookmarkStart w:id="125" w:name="_Toc14120"/>
      <w:bookmarkStart w:id="126" w:name="_Toc1349"/>
    </w:p>
    <w:p>
      <w:pPr>
        <w:jc w:val="center"/>
        <w:rPr>
          <w:rFonts w:hint="eastAsia" w:ascii="宋体" w:hAnsi="宋体"/>
          <w:b/>
          <w:color w:val="auto"/>
          <w:sz w:val="36"/>
          <w:szCs w:val="36"/>
          <w:highlight w:val="none"/>
          <w:lang w:eastAsia="zh-CN"/>
        </w:rPr>
      </w:pPr>
      <w:r>
        <w:rPr>
          <w:rFonts w:hint="eastAsia" w:ascii="宋体" w:hAnsi="宋体"/>
          <w:b/>
          <w:color w:val="auto"/>
          <w:sz w:val="36"/>
          <w:szCs w:val="36"/>
          <w:highlight w:val="none"/>
          <w:lang w:eastAsia="zh-CN"/>
        </w:rPr>
        <w:t>投标人资格声明函附件资料</w:t>
      </w:r>
    </w:p>
    <w:p>
      <w:pPr>
        <w:pStyle w:val="6"/>
        <w:rPr>
          <w:rFonts w:hint="eastAsia"/>
          <w:color w:val="auto"/>
          <w:highlight w:val="none"/>
          <w:lang w:eastAsia="zh-CN"/>
        </w:rPr>
      </w:pPr>
    </w:p>
    <w:p>
      <w:pPr>
        <w:pStyle w:val="39"/>
        <w:numPr>
          <w:ilvl w:val="0"/>
          <w:numId w:val="49"/>
        </w:numPr>
        <w:spacing w:line="360" w:lineRule="auto"/>
        <w:ind w:left="425" w:leftChars="0" w:hanging="425" w:firstLineChars="0"/>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营业执照副本复印件</w:t>
      </w:r>
    </w:p>
    <w:p>
      <w:pPr>
        <w:pStyle w:val="39"/>
        <w:numPr>
          <w:ilvl w:val="0"/>
          <w:numId w:val="49"/>
        </w:numPr>
        <w:spacing w:line="360" w:lineRule="auto"/>
        <w:ind w:left="425" w:leftChars="0" w:hanging="425" w:firstLineChars="0"/>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相关</w:t>
      </w:r>
      <w:r>
        <w:rPr>
          <w:rFonts w:hint="eastAsia" w:ascii="宋体" w:hAnsi="宋体"/>
          <w:color w:val="auto"/>
          <w:szCs w:val="21"/>
          <w:highlight w:val="none"/>
          <w:lang w:eastAsia="zh-CN"/>
        </w:rPr>
        <w:t>信用</w:t>
      </w:r>
      <w:r>
        <w:rPr>
          <w:rFonts w:hint="eastAsia" w:ascii="宋体" w:hAnsi="宋体" w:eastAsia="宋体"/>
          <w:color w:val="auto"/>
          <w:szCs w:val="21"/>
          <w:highlight w:val="none"/>
          <w:lang w:eastAsia="zh-CN"/>
        </w:rPr>
        <w:t>证明文件：</w:t>
      </w:r>
      <w:bookmarkStart w:id="127" w:name="_Toc27093"/>
    </w:p>
    <w:p>
      <w:pPr>
        <w:jc w:val="left"/>
        <w:outlineLvl w:val="2"/>
        <w:rPr>
          <w:rFonts w:hint="eastAsia"/>
          <w:color w:val="auto"/>
          <w:highlight w:val="none"/>
          <w:lang w:eastAsia="zh-CN"/>
        </w:rPr>
      </w:pPr>
    </w:p>
    <w:p>
      <w:pPr>
        <w:jc w:val="center"/>
        <w:outlineLvl w:val="2"/>
        <w:rPr>
          <w:color w:val="auto"/>
          <w:sz w:val="36"/>
          <w:szCs w:val="36"/>
          <w:highlight w:val="none"/>
        </w:rPr>
      </w:pPr>
      <w:bookmarkStart w:id="128" w:name="_Toc13824"/>
      <w:r>
        <w:rPr>
          <w:rFonts w:hint="eastAsia"/>
          <w:color w:val="auto"/>
          <w:sz w:val="36"/>
          <w:szCs w:val="36"/>
          <w:highlight w:val="none"/>
        </w:rPr>
        <w:t>网上信用记录证明</w:t>
      </w:r>
      <w:bookmarkEnd w:id="127"/>
      <w:bookmarkEnd w:id="128"/>
    </w:p>
    <w:p>
      <w:pPr>
        <w:pStyle w:val="38"/>
        <w:numPr>
          <w:ilvl w:val="0"/>
          <w:numId w:val="50"/>
        </w:numPr>
        <w:spacing w:line="360" w:lineRule="auto"/>
        <w:ind w:left="425" w:leftChars="0" w:hanging="425" w:firstLineChars="0"/>
        <w:rPr>
          <w:rFonts w:ascii="宋体" w:hAnsi="宋体"/>
          <w:color w:val="auto"/>
          <w:szCs w:val="21"/>
          <w:highlight w:val="none"/>
        </w:rPr>
      </w:pPr>
      <w:r>
        <w:rPr>
          <w:rFonts w:ascii="宋体" w:hAnsi="宋体"/>
          <w:color w:val="auto"/>
          <w:szCs w:val="21"/>
          <w:highlight w:val="none"/>
        </w:rPr>
        <w:t>“信用中国”网站（www.creditchina.gov.cn）中企业信用信息</w:t>
      </w:r>
      <w:r>
        <w:rPr>
          <w:rFonts w:hint="eastAsia" w:ascii="宋体" w:hAnsi="宋体"/>
          <w:color w:val="auto"/>
          <w:szCs w:val="21"/>
          <w:highlight w:val="none"/>
        </w:rPr>
        <w:t>查询结果；</w:t>
      </w:r>
    </w:p>
    <w:p>
      <w:pPr>
        <w:pStyle w:val="38"/>
        <w:numPr>
          <w:ilvl w:val="0"/>
          <w:numId w:val="50"/>
        </w:numPr>
        <w:spacing w:line="360" w:lineRule="auto"/>
        <w:ind w:left="425" w:leftChars="0" w:hanging="425" w:firstLineChars="0"/>
        <w:rPr>
          <w:rFonts w:ascii="宋体" w:hAnsi="宋体"/>
          <w:color w:val="auto"/>
          <w:szCs w:val="21"/>
          <w:highlight w:val="none"/>
        </w:rPr>
      </w:pPr>
      <w:r>
        <w:rPr>
          <w:rFonts w:ascii="宋体" w:hAnsi="宋体"/>
          <w:color w:val="auto"/>
          <w:szCs w:val="21"/>
          <w:highlight w:val="none"/>
        </w:rPr>
        <w:t>查询</w:t>
      </w:r>
      <w:r>
        <w:rPr>
          <w:rFonts w:hint="eastAsia" w:ascii="宋体" w:hAnsi="宋体"/>
          <w:color w:val="auto"/>
          <w:szCs w:val="21"/>
          <w:highlight w:val="none"/>
        </w:rPr>
        <w:t>结果。</w:t>
      </w:r>
    </w:p>
    <w:p>
      <w:pPr>
        <w:pStyle w:val="39"/>
        <w:spacing w:line="360" w:lineRule="auto"/>
        <w:ind w:firstLine="482" w:firstLineChars="200"/>
        <w:rPr>
          <w:rFonts w:ascii="宋体" w:hAnsi="宋体"/>
          <w:b/>
          <w:color w:val="auto"/>
          <w:szCs w:val="21"/>
          <w:highlight w:val="none"/>
        </w:rPr>
      </w:pPr>
      <w:r>
        <w:rPr>
          <w:rFonts w:hint="eastAsia" w:ascii="宋体" w:hAnsi="宋体"/>
          <w:b/>
          <w:color w:val="auto"/>
          <w:szCs w:val="21"/>
          <w:highlight w:val="none"/>
        </w:rPr>
        <w:t>要求：</w:t>
      </w:r>
    </w:p>
    <w:p>
      <w:pPr>
        <w:pStyle w:val="39"/>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“信用中国”</w:t>
      </w:r>
      <w:r>
        <w:rPr>
          <w:rFonts w:hint="eastAsia" w:ascii="宋体" w:hAnsi="宋体"/>
          <w:color w:val="auto"/>
          <w:szCs w:val="21"/>
          <w:highlight w:val="none"/>
        </w:rPr>
        <w:t>、</w:t>
      </w:r>
      <w:r>
        <w:rPr>
          <w:rFonts w:ascii="宋体" w:hAnsi="宋体"/>
          <w:color w:val="auto"/>
          <w:szCs w:val="21"/>
          <w:highlight w:val="none"/>
        </w:rPr>
        <w:t>“中国政府采购网”</w:t>
      </w:r>
      <w:r>
        <w:rPr>
          <w:rFonts w:hint="eastAsia" w:ascii="宋体" w:hAnsi="宋体"/>
          <w:color w:val="auto"/>
          <w:szCs w:val="21"/>
          <w:highlight w:val="none"/>
        </w:rPr>
        <w:t>官网网站的查询时间不能早于本项目采购公告发布之日。</w:t>
      </w:r>
    </w:p>
    <w:p>
      <w:pPr>
        <w:pStyle w:val="39"/>
        <w:spacing w:line="360" w:lineRule="auto"/>
        <w:ind w:firstLine="600" w:firstLineChars="25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“信用中国”</w:t>
      </w:r>
      <w:r>
        <w:rPr>
          <w:rFonts w:hint="eastAsia" w:ascii="宋体" w:hAnsi="宋体"/>
          <w:color w:val="auto"/>
          <w:szCs w:val="21"/>
          <w:highlight w:val="none"/>
        </w:rPr>
        <w:t>网站查询结果可提供网页打印件或截图，或下载打印信用报告。相关资料须体现投标人全称、查询网址和查询结果，查询界面须能体现“基础信息、行政许可、行政处罚、守信激励、失信惩戒、重点关注、资质资格、风险提示、其他”，或直接下载打印信用报告。</w:t>
      </w:r>
    </w:p>
    <w:p>
      <w:pPr>
        <w:pStyle w:val="39"/>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（4）查询结果如显示无投标人信息或没有该企业相关记录的，亦须按照上述要求打印网页或截图。</w:t>
      </w:r>
    </w:p>
    <w:p>
      <w:pPr>
        <w:pStyle w:val="39"/>
        <w:spacing w:line="360" w:lineRule="auto"/>
        <w:ind w:firstLine="48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（5）查询页面显示的关键内容见下图标注指引。</w:t>
      </w:r>
    </w:p>
    <w:p>
      <w:pPr>
        <w:pStyle w:val="39"/>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说明：</w:t>
      </w:r>
    </w:p>
    <w:p>
      <w:pPr>
        <w:pStyle w:val="39"/>
        <w:tabs>
          <w:tab w:val="left" w:pos="510"/>
        </w:tabs>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1.上述资格性证明文件属性是打印件的，应将打印件加盖公章；文件属性为截图的，直接复制粘贴在后打印加盖公章。</w:t>
      </w:r>
    </w:p>
    <w:p>
      <w:pPr>
        <w:pStyle w:val="40"/>
        <w:tabs>
          <w:tab w:val="left" w:pos="510"/>
        </w:tabs>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2.供应商须如实提供网上信用记录证明，</w:t>
      </w:r>
      <w:r>
        <w:rPr>
          <w:rFonts w:hint="eastAsia" w:asciiTheme="minorEastAsia" w:hAnsiTheme="minorEastAsia" w:eastAsiaTheme="minorEastAsia" w:cstheme="minorEastAsia"/>
          <w:b/>
          <w:color w:val="auto"/>
          <w:highlight w:val="none"/>
          <w:lang w:eastAsia="zh-CN"/>
        </w:rPr>
        <w:t>招标人</w:t>
      </w:r>
      <w:r>
        <w:rPr>
          <w:rFonts w:hint="eastAsia" w:asciiTheme="minorEastAsia" w:hAnsiTheme="minorEastAsia" w:eastAsiaTheme="minorEastAsia" w:cstheme="minorEastAsia"/>
          <w:b/>
          <w:color w:val="auto"/>
          <w:highlight w:val="none"/>
        </w:rPr>
        <w:t>将在资格审查时对其真实性和有效性进行审查、验证，如有造假或情况不一致，将导致投标无效！</w:t>
      </w:r>
    </w:p>
    <w:p>
      <w:pPr>
        <w:pStyle w:val="40"/>
        <w:tabs>
          <w:tab w:val="left" w:pos="510"/>
        </w:tabs>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3.信用中国官方网站地址：</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"https://www.creditchina.gov.cn/"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
          <w:color w:val="auto"/>
          <w:highlight w:val="none"/>
        </w:rPr>
        <w:t>https://www.creditchina.gov.cn/</w:t>
      </w:r>
      <w:r>
        <w:rPr>
          <w:rFonts w:hint="eastAsia" w:asciiTheme="minorEastAsia" w:hAnsiTheme="minorEastAsia" w:eastAsiaTheme="minorEastAsia" w:cstheme="minorEastAsia"/>
          <w:b/>
          <w:color w:val="auto"/>
          <w:highlight w:val="none"/>
        </w:rPr>
        <w:fldChar w:fldCharType="end"/>
      </w:r>
    </w:p>
    <w:p>
      <w:pPr>
        <w:pStyle w:val="40"/>
        <w:tabs>
          <w:tab w:val="left" w:pos="510"/>
        </w:tabs>
        <w:spacing w:line="360" w:lineRule="auto"/>
        <w:rPr>
          <w:b/>
          <w:color w:val="auto"/>
          <w:highlight w:val="none"/>
        </w:rPr>
      </w:pPr>
      <w:r>
        <w:rPr>
          <w:rFonts w:hint="eastAsia"/>
          <w:b/>
          <w:color w:val="auto"/>
          <w:highlight w:val="none"/>
        </w:rPr>
        <w:t>网站界面参考图：</w:t>
      </w:r>
    </w:p>
    <w:p>
      <w:pPr>
        <w:pStyle w:val="40"/>
        <w:tabs>
          <w:tab w:val="left" w:pos="510"/>
        </w:tabs>
        <w:spacing w:line="360" w:lineRule="auto"/>
        <w:rPr>
          <w:b/>
          <w:color w:val="auto"/>
          <w:highlight w:val="none"/>
        </w:rPr>
      </w:pPr>
      <w:r>
        <w:rPr>
          <w:color w:val="auto"/>
          <w:highlight w:val="none"/>
        </w:rPr>
        <w:drawing>
          <wp:inline distT="0" distB="0" distL="114300" distR="114300">
            <wp:extent cx="3669030" cy="2051050"/>
            <wp:effectExtent l="0" t="0" r="7620" b="6350"/>
            <wp:docPr id="15" name="图片 3" descr="说明: 说明: C:\Users\yu\Documents\Tencent Files\56133984\Image\Group\F{N78Z(C5%)2S$MR8(NEC[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说明: 说明: C:\Users\yu\Documents\Tencent Files\56133984\Image\Group\F{N78Z(C5%)2S$MR8(NEC[Q.jpg"/>
                    <pic:cNvPicPr>
                      <a:picLocks noChangeAspect="1"/>
                    </pic:cNvPicPr>
                  </pic:nvPicPr>
                  <pic:blipFill>
                    <a:blip r:embed="rId16"/>
                    <a:stretch>
                      <a:fillRect/>
                    </a:stretch>
                  </pic:blipFill>
                  <pic:spPr>
                    <a:xfrm>
                      <a:off x="0" y="0"/>
                      <a:ext cx="3669030" cy="2051050"/>
                    </a:xfrm>
                    <a:prstGeom prst="rect">
                      <a:avLst/>
                    </a:prstGeom>
                    <a:noFill/>
                    <a:ln w="9525">
                      <a:noFill/>
                    </a:ln>
                    <a:effectLst/>
                  </pic:spPr>
                </pic:pic>
              </a:graphicData>
            </a:graphic>
          </wp:inline>
        </w:drawing>
      </w:r>
    </w:p>
    <w:p>
      <w:pPr>
        <w:pStyle w:val="40"/>
        <w:tabs>
          <w:tab w:val="left" w:pos="510"/>
        </w:tabs>
        <w:spacing w:line="360" w:lineRule="auto"/>
        <w:rPr>
          <w:b/>
          <w:color w:val="auto"/>
          <w:highlight w:val="none"/>
        </w:rPr>
      </w:pPr>
    </w:p>
    <w:bookmarkEnd w:id="125"/>
    <w:bookmarkEnd w:id="126"/>
    <w:p>
      <w:pPr>
        <w:pStyle w:val="39"/>
        <w:spacing w:line="360" w:lineRule="auto"/>
        <w:ind w:firstLine="600" w:firstLineChars="250"/>
        <w:rPr>
          <w:rFonts w:hint="eastAsia" w:ascii="宋体" w:hAnsi="宋体" w:eastAsia="宋体"/>
          <w:color w:val="auto"/>
          <w:sz w:val="24"/>
          <w:szCs w:val="24"/>
          <w:highlight w:val="none"/>
        </w:rPr>
      </w:pPr>
      <w:bookmarkStart w:id="129" w:name="_Toc20260"/>
      <w:bookmarkStart w:id="130" w:name="_Toc334432603"/>
    </w:p>
    <w:p>
      <w:pPr>
        <w:pStyle w:val="39"/>
        <w:spacing w:line="360" w:lineRule="auto"/>
        <w:ind w:firstLine="600" w:firstLineChars="250"/>
        <w:rPr>
          <w:rFonts w:hint="eastAsia" w:ascii="宋体" w:hAnsi="宋体" w:eastAsia="宋体"/>
          <w:color w:val="auto"/>
          <w:sz w:val="24"/>
          <w:szCs w:val="24"/>
          <w:highlight w:val="none"/>
        </w:rPr>
      </w:pPr>
    </w:p>
    <w:p>
      <w:pPr>
        <w:pStyle w:val="39"/>
        <w:spacing w:line="360" w:lineRule="auto"/>
        <w:ind w:firstLine="600" w:firstLineChars="250"/>
        <w:rPr>
          <w:rFonts w:hint="eastAsia" w:ascii="宋体" w:hAnsi="宋体" w:eastAsia="宋体"/>
          <w:color w:val="auto"/>
          <w:sz w:val="24"/>
          <w:szCs w:val="24"/>
          <w:highlight w:val="none"/>
        </w:rPr>
      </w:pPr>
    </w:p>
    <w:p>
      <w:pPr>
        <w:rPr>
          <w:rFonts w:hint="eastAsia" w:ascii="宋体" w:hAnsi="宋体" w:eastAsia="宋体" w:cs="Times New Roman"/>
          <w:b/>
          <w:color w:val="auto"/>
          <w:sz w:val="32"/>
          <w:szCs w:val="32"/>
          <w:highlight w:val="none"/>
          <w:lang w:val="en-US" w:eastAsia="zh-CN"/>
        </w:rPr>
      </w:pPr>
    </w:p>
    <w:p>
      <w:pPr>
        <w:jc w:val="left"/>
        <w:outlineLvl w:val="2"/>
        <w:rPr>
          <w:rFonts w:hint="eastAsia"/>
          <w:color w:val="auto"/>
          <w:highlight w:val="none"/>
          <w:lang w:eastAsia="zh-CN"/>
        </w:rPr>
      </w:pPr>
    </w:p>
    <w:p>
      <w:pPr>
        <w:jc w:val="center"/>
        <w:outlineLvl w:val="2"/>
        <w:rPr>
          <w:color w:val="auto"/>
          <w:sz w:val="36"/>
          <w:szCs w:val="36"/>
          <w:highlight w:val="none"/>
        </w:rPr>
      </w:pPr>
      <w:r>
        <w:rPr>
          <w:rFonts w:hint="eastAsia"/>
          <w:color w:val="auto"/>
          <w:sz w:val="36"/>
          <w:szCs w:val="36"/>
          <w:highlight w:val="none"/>
        </w:rPr>
        <w:t>网上信用记录证明</w:t>
      </w:r>
    </w:p>
    <w:p>
      <w:pPr>
        <w:pStyle w:val="38"/>
        <w:numPr>
          <w:ilvl w:val="0"/>
          <w:numId w:val="51"/>
        </w:numPr>
        <w:spacing w:line="360" w:lineRule="auto"/>
        <w:ind w:left="425" w:leftChars="0" w:hanging="425" w:firstLineChars="0"/>
        <w:rPr>
          <w:rFonts w:ascii="宋体" w:hAnsi="宋体"/>
          <w:color w:val="auto"/>
          <w:szCs w:val="21"/>
          <w:highlight w:val="none"/>
        </w:rPr>
      </w:pPr>
      <w:r>
        <w:rPr>
          <w:rFonts w:ascii="宋体" w:hAnsi="宋体"/>
          <w:color w:val="auto"/>
          <w:szCs w:val="21"/>
          <w:highlight w:val="none"/>
        </w:rPr>
        <w:t>“信用中国”网站（www.creditchina.gov.cn）中企业信用信息</w:t>
      </w:r>
      <w:r>
        <w:rPr>
          <w:rFonts w:hint="eastAsia" w:ascii="宋体" w:hAnsi="宋体"/>
          <w:color w:val="auto"/>
          <w:szCs w:val="21"/>
          <w:highlight w:val="none"/>
        </w:rPr>
        <w:t>查询结果；</w:t>
      </w:r>
    </w:p>
    <w:p>
      <w:pPr>
        <w:pStyle w:val="38"/>
        <w:numPr>
          <w:ilvl w:val="0"/>
          <w:numId w:val="51"/>
        </w:numPr>
        <w:spacing w:line="360" w:lineRule="auto"/>
        <w:ind w:left="425" w:leftChars="0" w:hanging="425" w:firstLineChars="0"/>
        <w:rPr>
          <w:rFonts w:ascii="宋体" w:hAnsi="宋体"/>
          <w:color w:val="auto"/>
          <w:szCs w:val="21"/>
          <w:highlight w:val="none"/>
        </w:rPr>
      </w:pPr>
      <w:r>
        <w:rPr>
          <w:rFonts w:ascii="宋体" w:hAnsi="宋体"/>
          <w:color w:val="auto"/>
          <w:szCs w:val="21"/>
          <w:highlight w:val="none"/>
        </w:rPr>
        <w:t>查询</w:t>
      </w:r>
      <w:r>
        <w:rPr>
          <w:rFonts w:hint="eastAsia" w:ascii="宋体" w:hAnsi="宋体"/>
          <w:color w:val="auto"/>
          <w:szCs w:val="21"/>
          <w:highlight w:val="none"/>
        </w:rPr>
        <w:t>结果。</w:t>
      </w:r>
    </w:p>
    <w:p>
      <w:pPr>
        <w:pStyle w:val="39"/>
        <w:spacing w:line="360" w:lineRule="auto"/>
        <w:ind w:firstLine="482" w:firstLineChars="200"/>
        <w:rPr>
          <w:rFonts w:ascii="宋体" w:hAnsi="宋体"/>
          <w:b/>
          <w:color w:val="auto"/>
          <w:szCs w:val="21"/>
          <w:highlight w:val="none"/>
        </w:rPr>
      </w:pPr>
      <w:r>
        <w:rPr>
          <w:rFonts w:hint="eastAsia" w:ascii="宋体" w:hAnsi="宋体"/>
          <w:b/>
          <w:color w:val="auto"/>
          <w:szCs w:val="21"/>
          <w:highlight w:val="none"/>
        </w:rPr>
        <w:t>要求：</w:t>
      </w:r>
    </w:p>
    <w:p>
      <w:pPr>
        <w:pStyle w:val="39"/>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“信用中国”</w:t>
      </w:r>
      <w:r>
        <w:rPr>
          <w:rFonts w:hint="eastAsia" w:ascii="宋体" w:hAnsi="宋体"/>
          <w:color w:val="auto"/>
          <w:szCs w:val="21"/>
          <w:highlight w:val="none"/>
        </w:rPr>
        <w:t>、</w:t>
      </w:r>
      <w:r>
        <w:rPr>
          <w:rFonts w:ascii="宋体" w:hAnsi="宋体"/>
          <w:color w:val="auto"/>
          <w:szCs w:val="21"/>
          <w:highlight w:val="none"/>
        </w:rPr>
        <w:t>“中国政府采购网”</w:t>
      </w:r>
      <w:r>
        <w:rPr>
          <w:rFonts w:hint="eastAsia" w:ascii="宋体" w:hAnsi="宋体"/>
          <w:color w:val="auto"/>
          <w:szCs w:val="21"/>
          <w:highlight w:val="none"/>
        </w:rPr>
        <w:t>官网网站的查询时间不能早于本项目采购公告发布之日。</w:t>
      </w:r>
    </w:p>
    <w:p>
      <w:pPr>
        <w:pStyle w:val="39"/>
        <w:spacing w:line="360" w:lineRule="auto"/>
        <w:ind w:firstLine="600" w:firstLineChars="250"/>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ascii="宋体" w:hAnsi="宋体"/>
          <w:color w:val="auto"/>
          <w:szCs w:val="21"/>
          <w:highlight w:val="none"/>
        </w:rPr>
        <w:t>“信用中国”</w:t>
      </w:r>
      <w:r>
        <w:rPr>
          <w:rFonts w:hint="eastAsia" w:ascii="宋体" w:hAnsi="宋体"/>
          <w:color w:val="auto"/>
          <w:szCs w:val="21"/>
          <w:highlight w:val="none"/>
        </w:rPr>
        <w:t>网站查询结果可提供网页截图</w:t>
      </w:r>
      <w:r>
        <w:rPr>
          <w:rFonts w:hint="eastAsia" w:ascii="宋体" w:hAnsi="宋体"/>
          <w:color w:val="auto"/>
          <w:szCs w:val="21"/>
          <w:highlight w:val="none"/>
          <w:lang w:eastAsia="zh-CN"/>
        </w:rPr>
        <w:t>。</w:t>
      </w:r>
    </w:p>
    <w:p>
      <w:pPr>
        <w:pStyle w:val="39"/>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）查询结果如显示无投标人信息或没有该企业相关记录的，亦须按照上述要求打印网页或截图。</w:t>
      </w:r>
    </w:p>
    <w:p>
      <w:pPr>
        <w:pStyle w:val="39"/>
        <w:spacing w:line="360" w:lineRule="auto"/>
        <w:ind w:firstLine="48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）查询页面显示的关键内容见下图标注指引。</w:t>
      </w:r>
    </w:p>
    <w:p>
      <w:pPr>
        <w:pStyle w:val="39"/>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说明：</w:t>
      </w:r>
    </w:p>
    <w:p>
      <w:pPr>
        <w:pStyle w:val="39"/>
        <w:tabs>
          <w:tab w:val="left" w:pos="510"/>
        </w:tabs>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1.上述资格性证明文件属性是打印件的，应将打印件加盖公章；文件属性为截图的，直接复制粘贴在后打印加盖公章。</w:t>
      </w:r>
    </w:p>
    <w:p>
      <w:pPr>
        <w:pStyle w:val="40"/>
        <w:tabs>
          <w:tab w:val="left" w:pos="510"/>
        </w:tabs>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2.供应商须如实提供网上信用记录证明，</w:t>
      </w:r>
      <w:r>
        <w:rPr>
          <w:rFonts w:hint="eastAsia" w:asciiTheme="minorEastAsia" w:hAnsiTheme="minorEastAsia" w:eastAsiaTheme="minorEastAsia" w:cstheme="minorEastAsia"/>
          <w:b/>
          <w:color w:val="auto"/>
          <w:highlight w:val="none"/>
          <w:lang w:eastAsia="zh-CN"/>
        </w:rPr>
        <w:t>招标人</w:t>
      </w:r>
      <w:r>
        <w:rPr>
          <w:rFonts w:hint="eastAsia" w:asciiTheme="minorEastAsia" w:hAnsiTheme="minorEastAsia" w:eastAsiaTheme="minorEastAsia" w:cstheme="minorEastAsia"/>
          <w:b/>
          <w:color w:val="auto"/>
          <w:highlight w:val="none"/>
        </w:rPr>
        <w:t>将在资格审查时对其真实性和有效性进行审查、验证，如有造假或情况不一致，将导致投标无效！</w:t>
      </w:r>
    </w:p>
    <w:p>
      <w:pPr>
        <w:pStyle w:val="40"/>
        <w:tabs>
          <w:tab w:val="left" w:pos="510"/>
        </w:tabs>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3.信用中国官方网站地址：</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"https://www.creditchina.gov.cn/"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
          <w:color w:val="auto"/>
          <w:highlight w:val="none"/>
        </w:rPr>
        <w:t>https://www.creditchina.gov.cn/</w:t>
      </w:r>
      <w:r>
        <w:rPr>
          <w:rFonts w:hint="eastAsia" w:asciiTheme="minorEastAsia" w:hAnsiTheme="minorEastAsia" w:eastAsiaTheme="minorEastAsia" w:cstheme="minorEastAsia"/>
          <w:b/>
          <w:color w:val="auto"/>
          <w:highlight w:val="none"/>
        </w:rPr>
        <w:fldChar w:fldCharType="end"/>
      </w:r>
    </w:p>
    <w:p>
      <w:pPr>
        <w:pStyle w:val="40"/>
        <w:tabs>
          <w:tab w:val="left" w:pos="510"/>
        </w:tabs>
        <w:spacing w:line="360" w:lineRule="auto"/>
        <w:rPr>
          <w:b/>
          <w:color w:val="auto"/>
          <w:highlight w:val="none"/>
        </w:rPr>
      </w:pPr>
      <w:r>
        <w:rPr>
          <w:rFonts w:hint="eastAsia"/>
          <w:b/>
          <w:color w:val="auto"/>
          <w:highlight w:val="none"/>
        </w:rPr>
        <w:t>网站界面参考图：</w:t>
      </w:r>
    </w:p>
    <w:p>
      <w:pPr>
        <w:pStyle w:val="40"/>
        <w:tabs>
          <w:tab w:val="left" w:pos="510"/>
        </w:tabs>
        <w:spacing w:line="360" w:lineRule="auto"/>
        <w:rPr>
          <w:b/>
          <w:color w:val="auto"/>
          <w:highlight w:val="none"/>
        </w:rPr>
      </w:pPr>
      <w:r>
        <w:rPr>
          <w:color w:val="auto"/>
          <w:highlight w:val="none"/>
        </w:rPr>
        <w:drawing>
          <wp:inline distT="0" distB="0" distL="114300" distR="114300">
            <wp:extent cx="4097020" cy="2633980"/>
            <wp:effectExtent l="0" t="0" r="17780" b="13970"/>
            <wp:docPr id="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
                    <pic:cNvPicPr>
                      <a:picLocks noChangeAspect="1"/>
                    </pic:cNvPicPr>
                  </pic:nvPicPr>
                  <pic:blipFill>
                    <a:blip r:embed="rId17"/>
                    <a:stretch>
                      <a:fillRect/>
                    </a:stretch>
                  </pic:blipFill>
                  <pic:spPr>
                    <a:xfrm>
                      <a:off x="0" y="0"/>
                      <a:ext cx="4097020" cy="2633980"/>
                    </a:xfrm>
                    <a:prstGeom prst="rect">
                      <a:avLst/>
                    </a:prstGeom>
                    <a:noFill/>
                    <a:ln>
                      <a:noFill/>
                    </a:ln>
                  </pic:spPr>
                </pic:pic>
              </a:graphicData>
            </a:graphic>
          </wp:inline>
        </w:drawing>
      </w:r>
    </w:p>
    <w:p>
      <w:pPr>
        <w:rPr>
          <w:rFonts w:hint="eastAsia" w:ascii="宋体" w:hAnsi="宋体" w:eastAsia="宋体" w:cs="Times New Roman"/>
          <w:b/>
          <w:color w:val="auto"/>
          <w:sz w:val="32"/>
          <w:szCs w:val="32"/>
          <w:highlight w:val="none"/>
          <w:lang w:val="en-US" w:eastAsia="zh-CN"/>
        </w:rPr>
      </w:pPr>
    </w:p>
    <w:p>
      <w:pPr>
        <w:rPr>
          <w:rFonts w:hint="eastAsia" w:ascii="宋体" w:hAnsi="宋体" w:eastAsia="宋体" w:cs="Times New Roman"/>
          <w:b/>
          <w:color w:val="auto"/>
          <w:sz w:val="32"/>
          <w:szCs w:val="32"/>
          <w:highlight w:val="none"/>
          <w:lang w:val="en-US" w:eastAsia="zh-CN"/>
        </w:rPr>
      </w:pPr>
      <w:r>
        <w:rPr>
          <w:rFonts w:hint="eastAsia" w:ascii="宋体" w:hAnsi="宋体" w:eastAsia="宋体" w:cs="Times New Roman"/>
          <w:b/>
          <w:color w:val="auto"/>
          <w:sz w:val="32"/>
          <w:szCs w:val="32"/>
          <w:highlight w:val="none"/>
          <w:lang w:val="en-US" w:eastAsia="zh-CN"/>
        </w:rPr>
        <w:br w:type="page"/>
      </w:r>
    </w:p>
    <w:p>
      <w:pPr>
        <w:jc w:val="center"/>
        <w:outlineLvl w:val="2"/>
        <w:rPr>
          <w:rFonts w:hint="eastAsia" w:ascii="宋体" w:hAnsi="宋体"/>
          <w:b/>
          <w:color w:val="auto"/>
          <w:sz w:val="32"/>
          <w:szCs w:val="32"/>
          <w:highlight w:val="none"/>
        </w:rPr>
      </w:pPr>
      <w:r>
        <w:rPr>
          <w:rFonts w:hint="eastAsia" w:ascii="宋体" w:hAnsi="宋体" w:eastAsia="宋体" w:cs="Times New Roman"/>
          <w:b/>
          <w:color w:val="auto"/>
          <w:sz w:val="32"/>
          <w:szCs w:val="32"/>
          <w:highlight w:val="none"/>
          <w:lang w:val="en-US" w:eastAsia="zh-CN"/>
        </w:rPr>
        <w:t>1.</w:t>
      </w:r>
      <w:r>
        <w:rPr>
          <w:rFonts w:hint="eastAsia" w:ascii="宋体" w:hAnsi="宋体" w:cs="Times New Roman"/>
          <w:b/>
          <w:color w:val="auto"/>
          <w:sz w:val="32"/>
          <w:szCs w:val="32"/>
          <w:highlight w:val="none"/>
          <w:lang w:val="en-US" w:eastAsia="zh-CN"/>
        </w:rPr>
        <w:t>5</w:t>
      </w:r>
      <w:r>
        <w:rPr>
          <w:rFonts w:hint="eastAsia" w:ascii="宋体" w:hAnsi="宋体" w:eastAsia="宋体"/>
          <w:b/>
          <w:color w:val="auto"/>
          <w:sz w:val="32"/>
          <w:szCs w:val="32"/>
          <w:highlight w:val="none"/>
          <w:lang w:eastAsia="zh-CN"/>
        </w:rPr>
        <w:t>竞投</w:t>
      </w:r>
      <w:r>
        <w:rPr>
          <w:rFonts w:hint="eastAsia" w:ascii="宋体" w:hAnsi="宋体"/>
          <w:b/>
          <w:color w:val="auto"/>
          <w:sz w:val="32"/>
          <w:szCs w:val="32"/>
          <w:highlight w:val="none"/>
        </w:rPr>
        <w:t>保证金</w:t>
      </w:r>
      <w:bookmarkEnd w:id="129"/>
    </w:p>
    <w:p>
      <w:pPr>
        <w:pStyle w:val="6"/>
        <w:rPr>
          <w:rFonts w:hint="eastAsia" w:ascii="宋体" w:hAnsi="宋体"/>
          <w:b/>
          <w:color w:val="auto"/>
          <w:sz w:val="24"/>
          <w:szCs w:val="24"/>
          <w:highlight w:val="none"/>
        </w:rPr>
      </w:pPr>
    </w:p>
    <w:p>
      <w:pPr>
        <w:rPr>
          <w:color w:val="auto"/>
          <w:sz w:val="24"/>
          <w:szCs w:val="24"/>
          <w:highlight w:val="none"/>
        </w:rPr>
      </w:pPr>
    </w:p>
    <w:p>
      <w:pPr>
        <w:spacing w:line="360" w:lineRule="auto"/>
        <w:rPr>
          <w:rFonts w:hint="eastAsia" w:ascii="宋体" w:eastAsia="宋体"/>
          <w:color w:val="auto"/>
          <w:sz w:val="24"/>
          <w:szCs w:val="24"/>
          <w:highlight w:val="none"/>
          <w:lang w:eastAsia="zh-CN"/>
        </w:rPr>
      </w:pPr>
      <w:r>
        <w:rPr>
          <w:rFonts w:hint="eastAsia" w:ascii="宋体" w:hAnsi="宋体"/>
          <w:color w:val="auto"/>
          <w:sz w:val="24"/>
          <w:szCs w:val="24"/>
          <w:highlight w:val="none"/>
        </w:rPr>
        <w:t>附：</w:t>
      </w:r>
    </w:p>
    <w:tbl>
      <w:tblPr>
        <w:tblStyle w:val="1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9570" w:type="dxa"/>
            <w:noWrap w:val="0"/>
            <w:vAlign w:val="top"/>
          </w:tcPr>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center"/>
              <w:rPr>
                <w:rFonts w:hint="default" w:ascii="宋体" w:eastAsia="宋体"/>
                <w:color w:val="auto"/>
                <w:sz w:val="24"/>
                <w:szCs w:val="24"/>
                <w:highlight w:val="none"/>
                <w:lang w:val="en-US" w:eastAsia="zh-CN"/>
              </w:rPr>
            </w:pPr>
            <w:r>
              <w:rPr>
                <w:rFonts w:hint="eastAsia" w:ascii="宋体" w:hAnsi="宋体"/>
                <w:color w:val="auto"/>
                <w:sz w:val="24"/>
                <w:szCs w:val="24"/>
                <w:highlight w:val="none"/>
                <w:lang w:eastAsia="zh-CN"/>
              </w:rPr>
              <w:t>竞投保证金转账凭证复印件</w:t>
            </w:r>
            <w:r>
              <w:rPr>
                <w:rFonts w:hint="eastAsia" w:ascii="宋体" w:hAnsi="宋体"/>
                <w:color w:val="auto"/>
                <w:sz w:val="24"/>
                <w:szCs w:val="24"/>
                <w:highlight w:val="none"/>
                <w:lang w:val="en-US" w:eastAsia="zh-CN"/>
              </w:rPr>
              <w:t>/扫描件</w:t>
            </w:r>
          </w:p>
        </w:tc>
      </w:tr>
    </w:tbl>
    <w:p>
      <w:pPr>
        <w:pStyle w:val="6"/>
        <w:ind w:firstLine="400"/>
        <w:rPr>
          <w:color w:val="auto"/>
          <w:highlight w:val="none"/>
        </w:rPr>
      </w:pPr>
    </w:p>
    <w:p>
      <w:pPr>
        <w:rPr>
          <w:color w:val="auto"/>
          <w:highlight w:val="none"/>
        </w:rPr>
      </w:pPr>
    </w:p>
    <w:p>
      <w:pPr>
        <w:rPr>
          <w:b/>
          <w:color w:val="auto"/>
          <w:highlight w:val="none"/>
        </w:rPr>
      </w:pPr>
    </w:p>
    <w:p>
      <w:pPr>
        <w:jc w:val="center"/>
        <w:rPr>
          <w:b/>
          <w:bCs/>
          <w:color w:val="auto"/>
          <w:sz w:val="22"/>
          <w:szCs w:val="28"/>
          <w:highlight w:val="none"/>
        </w:rPr>
      </w:pPr>
    </w:p>
    <w:p>
      <w:pPr>
        <w:jc w:val="center"/>
        <w:rPr>
          <w:b/>
          <w:bCs/>
          <w:color w:val="auto"/>
          <w:sz w:val="28"/>
          <w:szCs w:val="28"/>
          <w:highlight w:val="none"/>
        </w:rPr>
      </w:pPr>
      <w:r>
        <w:rPr>
          <w:rFonts w:hint="eastAsia"/>
          <w:b/>
          <w:bCs/>
          <w:color w:val="auto"/>
          <w:sz w:val="28"/>
          <w:szCs w:val="28"/>
          <w:highlight w:val="none"/>
        </w:rPr>
        <w:t>退</w:t>
      </w:r>
      <w:r>
        <w:rPr>
          <w:rFonts w:hint="eastAsia"/>
          <w:b/>
          <w:bCs/>
          <w:color w:val="auto"/>
          <w:sz w:val="28"/>
          <w:szCs w:val="28"/>
          <w:highlight w:val="none"/>
          <w:lang w:eastAsia="zh-CN"/>
        </w:rPr>
        <w:t>竞投保证金</w:t>
      </w:r>
      <w:r>
        <w:rPr>
          <w:rFonts w:hint="eastAsia"/>
          <w:b/>
          <w:bCs/>
          <w:color w:val="auto"/>
          <w:sz w:val="28"/>
          <w:szCs w:val="28"/>
          <w:highlight w:val="none"/>
        </w:rPr>
        <w:t>说明</w:t>
      </w:r>
    </w:p>
    <w:p>
      <w:pPr>
        <w:jc w:val="center"/>
        <w:rPr>
          <w:b/>
          <w:bCs/>
          <w:color w:val="auto"/>
          <w:sz w:val="22"/>
          <w:szCs w:val="28"/>
          <w:highlight w:val="none"/>
        </w:rPr>
      </w:pP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我方为</w:t>
      </w:r>
      <w:r>
        <w:rPr>
          <w:rFonts w:hint="eastAsia" w:ascii="宋体" w:hAnsi="宋体" w:cs="宋体"/>
          <w:color w:val="auto"/>
          <w:sz w:val="24"/>
          <w:szCs w:val="24"/>
          <w:highlight w:val="none"/>
          <w:lang w:eastAsia="zh-CN"/>
        </w:rPr>
        <w:t>吉利竹甫村车辆停放管理服务</w:t>
      </w:r>
      <w:r>
        <w:rPr>
          <w:rFonts w:hint="eastAsia" w:ascii="宋体" w:hAnsi="宋体" w:eastAsia="宋体" w:cs="宋体"/>
          <w:color w:val="auto"/>
          <w:sz w:val="24"/>
          <w:szCs w:val="24"/>
          <w:highlight w:val="none"/>
          <w:lang w:eastAsia="zh-CN"/>
        </w:rPr>
        <w:t>竞投</w:t>
      </w:r>
      <w:r>
        <w:rPr>
          <w:rFonts w:hint="eastAsia" w:ascii="宋体" w:hAnsi="宋体" w:eastAsia="宋体" w:cs="宋体"/>
          <w:color w:val="auto"/>
          <w:sz w:val="24"/>
          <w:szCs w:val="24"/>
          <w:highlight w:val="none"/>
        </w:rPr>
        <w:t>所提交的</w:t>
      </w:r>
      <w:r>
        <w:rPr>
          <w:rFonts w:hint="eastAsia" w:ascii="宋体" w:hAnsi="宋体" w:cs="宋体"/>
          <w:color w:val="auto"/>
          <w:sz w:val="24"/>
          <w:szCs w:val="24"/>
          <w:highlight w:val="none"/>
          <w:lang w:eastAsia="zh-CN"/>
        </w:rPr>
        <w:t>竞投保证金</w:t>
      </w:r>
      <w:r>
        <w:rPr>
          <w:rFonts w:hint="eastAsia" w:ascii="宋体" w:hAnsi="宋体" w:eastAsia="宋体" w:cs="宋体"/>
          <w:color w:val="auto"/>
          <w:sz w:val="24"/>
          <w:szCs w:val="24"/>
          <w:highlight w:val="none"/>
        </w:rPr>
        <w:t>，请贵司退还</w:t>
      </w:r>
      <w:r>
        <w:rPr>
          <w:rFonts w:hint="eastAsia" w:ascii="宋体" w:hAnsi="宋体" w:cs="宋体"/>
          <w:color w:val="auto"/>
          <w:sz w:val="24"/>
          <w:szCs w:val="24"/>
          <w:highlight w:val="none"/>
          <w:lang w:eastAsia="zh-CN"/>
        </w:rPr>
        <w:t>竞投保证金</w:t>
      </w:r>
      <w:r>
        <w:rPr>
          <w:rFonts w:hint="eastAsia" w:ascii="宋体" w:hAnsi="宋体" w:eastAsia="宋体" w:cs="宋体"/>
          <w:color w:val="auto"/>
          <w:sz w:val="24"/>
          <w:szCs w:val="24"/>
          <w:highlight w:val="none"/>
        </w:rPr>
        <w:t>时按以下账号划款：</w:t>
      </w:r>
    </w:p>
    <w:tbl>
      <w:tblPr>
        <w:tblStyle w:val="19"/>
        <w:tblW w:w="956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4029"/>
        <w:gridCol w:w="1100"/>
        <w:gridCol w:w="20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391" w:type="dxa"/>
            <w:tcBorders>
              <w:tl2br w:val="nil"/>
              <w:tr2bl w:val="nil"/>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收款人</w:t>
            </w:r>
          </w:p>
        </w:tc>
        <w:tc>
          <w:tcPr>
            <w:tcW w:w="7174" w:type="dxa"/>
            <w:gridSpan w:val="3"/>
            <w:tcBorders>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91" w:type="dxa"/>
            <w:tcBorders>
              <w:tl2br w:val="nil"/>
              <w:tr2bl w:val="nil"/>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收款人地址</w:t>
            </w:r>
          </w:p>
        </w:tc>
        <w:tc>
          <w:tcPr>
            <w:tcW w:w="7174" w:type="dxa"/>
            <w:gridSpan w:val="3"/>
            <w:tcBorders>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391" w:type="dxa"/>
            <w:tcBorders>
              <w:tl2br w:val="nil"/>
              <w:tr2bl w:val="nil"/>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开户银行（具体到XX银行XX支行）</w:t>
            </w:r>
          </w:p>
        </w:tc>
        <w:tc>
          <w:tcPr>
            <w:tcW w:w="4029" w:type="dxa"/>
            <w:tcBorders>
              <w:tl2br w:val="nil"/>
              <w:tr2bl w:val="nil"/>
            </w:tcBorders>
            <w:noWrap w:val="0"/>
            <w:vAlign w:val="top"/>
          </w:tcPr>
          <w:p>
            <w:pPr>
              <w:rPr>
                <w:rFonts w:hint="eastAsia" w:ascii="宋体" w:hAnsi="宋体" w:eastAsia="宋体" w:cs="宋体"/>
                <w:color w:val="auto"/>
                <w:sz w:val="24"/>
                <w:szCs w:val="24"/>
                <w:highlight w:val="none"/>
              </w:rPr>
            </w:pPr>
          </w:p>
        </w:tc>
        <w:tc>
          <w:tcPr>
            <w:tcW w:w="1100" w:type="dxa"/>
            <w:tcBorders>
              <w:tl2br w:val="nil"/>
              <w:tr2bl w:val="nil"/>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045" w:type="dxa"/>
            <w:tcBorders>
              <w:tl2br w:val="nil"/>
              <w:tr2bl w:val="nil"/>
            </w:tcBorders>
            <w:noWrap w:val="0"/>
            <w:vAlign w:val="top"/>
          </w:tcPr>
          <w:p>
            <w:pP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391" w:type="dxa"/>
            <w:tcBorders>
              <w:tl2br w:val="nil"/>
              <w:tr2bl w:val="nil"/>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029" w:type="dxa"/>
            <w:tcBorders>
              <w:tl2br w:val="nil"/>
              <w:tr2bl w:val="nil"/>
            </w:tcBorders>
            <w:noWrap w:val="0"/>
            <w:vAlign w:val="top"/>
          </w:tcPr>
          <w:p>
            <w:pPr>
              <w:rPr>
                <w:rFonts w:hint="eastAsia" w:ascii="宋体" w:hAnsi="宋体" w:eastAsia="宋体" w:cs="宋体"/>
                <w:color w:val="auto"/>
                <w:sz w:val="24"/>
                <w:szCs w:val="24"/>
                <w:highlight w:val="none"/>
              </w:rPr>
            </w:pPr>
          </w:p>
        </w:tc>
        <w:tc>
          <w:tcPr>
            <w:tcW w:w="1100" w:type="dxa"/>
            <w:tcBorders>
              <w:tl2br w:val="nil"/>
              <w:tr2bl w:val="nil"/>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045" w:type="dxa"/>
            <w:tcBorders>
              <w:tl2br w:val="nil"/>
              <w:tr2bl w:val="nil"/>
            </w:tcBorders>
            <w:noWrap w:val="0"/>
            <w:vAlign w:val="top"/>
          </w:tcPr>
          <w:p>
            <w:pPr>
              <w:rPr>
                <w:rFonts w:hint="eastAsia" w:ascii="宋体" w:hAnsi="宋体" w:eastAsia="宋体" w:cs="宋体"/>
                <w:color w:val="auto"/>
                <w:sz w:val="24"/>
                <w:szCs w:val="24"/>
                <w:highlight w:val="none"/>
              </w:rPr>
            </w:pPr>
          </w:p>
        </w:tc>
      </w:tr>
    </w:tbl>
    <w:p>
      <w:pPr>
        <w:spacing w:line="360" w:lineRule="auto"/>
        <w:jc w:val="center"/>
        <w:outlineLvl w:val="2"/>
        <w:rPr>
          <w:rFonts w:hint="eastAsia" w:ascii="宋体" w:hAnsi="宋体" w:eastAsia="宋体" w:cs="宋体"/>
          <w:color w:val="auto"/>
          <w:sz w:val="24"/>
          <w:szCs w:val="24"/>
          <w:highlight w:val="none"/>
        </w:rPr>
      </w:pPr>
      <w:bookmarkStart w:id="131" w:name="_Toc4845"/>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代理机构按规定允许退还</w:t>
      </w:r>
      <w:r>
        <w:rPr>
          <w:rFonts w:hint="eastAsia" w:ascii="宋体" w:hAnsi="宋体" w:cs="宋体"/>
          <w:color w:val="auto"/>
          <w:sz w:val="24"/>
          <w:szCs w:val="24"/>
          <w:highlight w:val="none"/>
          <w:lang w:eastAsia="zh-CN"/>
        </w:rPr>
        <w:t>竞投保证金</w:t>
      </w:r>
      <w:r>
        <w:rPr>
          <w:rFonts w:hint="eastAsia" w:ascii="宋体" w:hAnsi="宋体" w:eastAsia="宋体" w:cs="宋体"/>
          <w:color w:val="auto"/>
          <w:sz w:val="24"/>
          <w:szCs w:val="24"/>
          <w:highlight w:val="none"/>
        </w:rPr>
        <w:t>时，将按其提供的“退</w:t>
      </w:r>
      <w:r>
        <w:rPr>
          <w:rFonts w:hint="eastAsia" w:ascii="宋体" w:hAnsi="宋体" w:cs="宋体"/>
          <w:color w:val="auto"/>
          <w:sz w:val="24"/>
          <w:szCs w:val="24"/>
          <w:highlight w:val="none"/>
          <w:lang w:eastAsia="zh-CN"/>
        </w:rPr>
        <w:t>竞投保证金</w:t>
      </w:r>
      <w:r>
        <w:rPr>
          <w:rFonts w:hint="eastAsia" w:ascii="宋体" w:hAnsi="宋体" w:eastAsia="宋体" w:cs="宋体"/>
          <w:color w:val="auto"/>
          <w:sz w:val="24"/>
          <w:szCs w:val="24"/>
          <w:highlight w:val="none"/>
        </w:rPr>
        <w:t>说明”退</w:t>
      </w:r>
      <w:bookmarkEnd w:id="131"/>
    </w:p>
    <w:p>
      <w:pPr>
        <w:spacing w:line="360" w:lineRule="auto"/>
        <w:jc w:val="both"/>
        <w:outlineLvl w:val="2"/>
        <w:rPr>
          <w:rFonts w:hint="eastAsia"/>
          <w:color w:val="auto"/>
          <w:highlight w:val="none"/>
        </w:rPr>
      </w:pPr>
      <w:bookmarkStart w:id="132" w:name="_Toc18967"/>
      <w:r>
        <w:rPr>
          <w:rFonts w:hint="eastAsia" w:ascii="宋体" w:hAnsi="宋体" w:eastAsia="宋体" w:cs="宋体"/>
          <w:color w:val="auto"/>
          <w:sz w:val="24"/>
          <w:szCs w:val="24"/>
          <w:highlight w:val="none"/>
        </w:rPr>
        <w:t>还</w:t>
      </w:r>
      <w:r>
        <w:rPr>
          <w:rFonts w:hint="eastAsia" w:ascii="宋体" w:hAnsi="宋体" w:cs="宋体"/>
          <w:color w:val="auto"/>
          <w:sz w:val="24"/>
          <w:szCs w:val="24"/>
          <w:highlight w:val="none"/>
          <w:lang w:eastAsia="zh-CN"/>
        </w:rPr>
        <w:t>竞投保证金</w:t>
      </w:r>
      <w:r>
        <w:rPr>
          <w:rFonts w:hint="eastAsia" w:ascii="宋体" w:hAnsi="宋体"/>
          <w:color w:val="auto"/>
          <w:highlight w:val="none"/>
        </w:rPr>
        <w:t>。</w:t>
      </w:r>
      <w:r>
        <w:rPr>
          <w:rFonts w:ascii="宋体"/>
          <w:color w:val="auto"/>
          <w:highlight w:val="none"/>
        </w:rPr>
        <w:br w:type="page"/>
      </w:r>
      <w:bookmarkEnd w:id="132"/>
    </w:p>
    <w:p>
      <w:pPr>
        <w:spacing w:line="360" w:lineRule="auto"/>
        <w:jc w:val="center"/>
        <w:outlineLvl w:val="2"/>
        <w:rPr>
          <w:rFonts w:ascii="宋体"/>
          <w:b/>
          <w:color w:val="auto"/>
          <w:sz w:val="32"/>
          <w:szCs w:val="32"/>
          <w:highlight w:val="none"/>
        </w:rPr>
      </w:pPr>
      <w:bookmarkStart w:id="133" w:name="_Toc29623"/>
      <w:r>
        <w:rPr>
          <w:rFonts w:hint="eastAsia" w:ascii="宋体" w:hAnsi="宋体" w:eastAsia="宋体" w:cs="Times New Roman"/>
          <w:b/>
          <w:color w:val="auto"/>
          <w:spacing w:val="0"/>
          <w:sz w:val="32"/>
          <w:szCs w:val="32"/>
          <w:highlight w:val="none"/>
          <w:lang w:val="en-US" w:eastAsia="zh-CN"/>
        </w:rPr>
        <w:t>1.</w:t>
      </w:r>
      <w:bookmarkEnd w:id="130"/>
      <w:bookmarkStart w:id="134" w:name="_Toc6596"/>
      <w:bookmarkStart w:id="135" w:name="_Toc22028"/>
      <w:bookmarkStart w:id="136" w:name="_Toc27101"/>
      <w:bookmarkStart w:id="137" w:name="_Toc13491"/>
      <w:bookmarkStart w:id="138" w:name="_Toc11487"/>
      <w:bookmarkStart w:id="139" w:name="_Toc7712"/>
      <w:bookmarkStart w:id="140" w:name="_Toc28989"/>
      <w:r>
        <w:rPr>
          <w:rFonts w:hint="eastAsia" w:ascii="宋体" w:hAnsi="宋体" w:cs="Times New Roman"/>
          <w:b/>
          <w:color w:val="auto"/>
          <w:spacing w:val="0"/>
          <w:sz w:val="32"/>
          <w:szCs w:val="32"/>
          <w:highlight w:val="none"/>
          <w:lang w:val="en-US" w:eastAsia="zh-CN"/>
        </w:rPr>
        <w:t>8</w:t>
      </w:r>
      <w:r>
        <w:rPr>
          <w:rFonts w:hint="eastAsia" w:ascii="宋体" w:hAnsi="宋体"/>
          <w:b/>
          <w:color w:val="auto"/>
          <w:sz w:val="32"/>
          <w:szCs w:val="32"/>
          <w:highlight w:val="none"/>
        </w:rPr>
        <w:t>其他文件资料及说明</w:t>
      </w:r>
      <w:bookmarkEnd w:id="133"/>
      <w:bookmarkEnd w:id="134"/>
      <w:bookmarkEnd w:id="135"/>
      <w:bookmarkEnd w:id="136"/>
      <w:bookmarkEnd w:id="137"/>
      <w:bookmarkEnd w:id="138"/>
      <w:bookmarkEnd w:id="139"/>
      <w:bookmarkEnd w:id="140"/>
    </w:p>
    <w:p>
      <w:pPr>
        <w:spacing w:line="360" w:lineRule="auto"/>
        <w:rPr>
          <w:rFonts w:ascii="宋体"/>
          <w:color w:val="auto"/>
          <w:sz w:val="24"/>
          <w:highlight w:val="none"/>
        </w:rPr>
      </w:pPr>
    </w:p>
    <w:p>
      <w:pPr>
        <w:spacing w:line="480" w:lineRule="auto"/>
        <w:ind w:firstLine="720" w:firstLineChars="240"/>
        <w:rPr>
          <w:rFonts w:hint="eastAsia" w:ascii="宋体" w:hAnsi="宋体"/>
          <w:color w:val="auto"/>
          <w:sz w:val="30"/>
          <w:szCs w:val="30"/>
          <w:highlight w:val="none"/>
        </w:rPr>
      </w:pPr>
      <w:r>
        <w:rPr>
          <w:rFonts w:hint="eastAsia" w:ascii="宋体" w:hAnsi="宋体"/>
          <w:color w:val="auto"/>
          <w:sz w:val="30"/>
          <w:szCs w:val="30"/>
          <w:highlight w:val="none"/>
        </w:rPr>
        <w:t>本节内容为</w:t>
      </w:r>
      <w:r>
        <w:rPr>
          <w:rFonts w:hint="eastAsia" w:ascii="宋体" w:hAnsi="宋体"/>
          <w:color w:val="auto"/>
          <w:sz w:val="30"/>
          <w:szCs w:val="30"/>
          <w:highlight w:val="none"/>
          <w:lang w:eastAsia="zh-CN"/>
        </w:rPr>
        <w:t>投标人</w:t>
      </w:r>
      <w:r>
        <w:rPr>
          <w:rFonts w:hint="eastAsia" w:ascii="宋体" w:hAnsi="宋体"/>
          <w:color w:val="auto"/>
          <w:sz w:val="30"/>
          <w:szCs w:val="30"/>
          <w:highlight w:val="none"/>
        </w:rPr>
        <w:t>认为有必要提供的其他文件材料，因此所提交的内容和编制格式等均不受任何限制，一切递交情况由</w:t>
      </w:r>
      <w:r>
        <w:rPr>
          <w:rFonts w:hint="eastAsia" w:ascii="宋体" w:hAnsi="宋体"/>
          <w:color w:val="auto"/>
          <w:sz w:val="30"/>
          <w:szCs w:val="30"/>
          <w:highlight w:val="none"/>
          <w:lang w:eastAsia="zh-CN"/>
        </w:rPr>
        <w:t>投标人</w:t>
      </w:r>
      <w:r>
        <w:rPr>
          <w:rFonts w:hint="eastAsia" w:ascii="宋体" w:hAnsi="宋体"/>
          <w:color w:val="auto"/>
          <w:sz w:val="30"/>
          <w:szCs w:val="30"/>
          <w:highlight w:val="none"/>
        </w:rPr>
        <w:t>自行决定和设计排版。</w:t>
      </w:r>
    </w:p>
    <w:p>
      <w:pPr>
        <w:pStyle w:val="6"/>
        <w:rPr>
          <w:rFonts w:hint="eastAsia" w:ascii="宋体" w:hAnsi="宋体"/>
          <w:color w:val="auto"/>
          <w:sz w:val="30"/>
          <w:szCs w:val="30"/>
          <w:highlight w:val="none"/>
        </w:rPr>
      </w:pPr>
    </w:p>
    <w:p>
      <w:pPr>
        <w:rPr>
          <w:color w:val="auto"/>
          <w:highlight w:val="none"/>
        </w:rPr>
      </w:pPr>
    </w:p>
    <w:p>
      <w:pPr>
        <w:snapToGrid w:val="0"/>
        <w:spacing w:line="480" w:lineRule="auto"/>
        <w:rPr>
          <w:rFonts w:ascii="宋体"/>
          <w:color w:val="auto"/>
          <w:sz w:val="24"/>
          <w:highlight w:val="none"/>
        </w:rPr>
      </w:pPr>
    </w:p>
    <w:p>
      <w:pPr>
        <w:snapToGrid w:val="0"/>
        <w:rPr>
          <w:rFonts w:ascii="宋体"/>
          <w:color w:val="auto"/>
          <w:sz w:val="18"/>
          <w:szCs w:val="18"/>
          <w:highlight w:val="none"/>
        </w:rPr>
      </w:pPr>
      <w:r>
        <w:rPr>
          <w:rFonts w:ascii="宋体"/>
          <w:color w:val="auto"/>
          <w:sz w:val="24"/>
          <w:highlight w:val="none"/>
        </w:rPr>
        <w:br w:type="page"/>
      </w:r>
    </w:p>
    <w:p>
      <w:pPr>
        <w:spacing w:line="360" w:lineRule="auto"/>
        <w:jc w:val="center"/>
        <w:outlineLvl w:val="2"/>
        <w:rPr>
          <w:rFonts w:ascii="宋体"/>
          <w:b/>
          <w:bCs/>
          <w:color w:val="auto"/>
          <w:sz w:val="44"/>
          <w:szCs w:val="44"/>
          <w:highlight w:val="none"/>
        </w:rPr>
      </w:pPr>
      <w:bookmarkStart w:id="141" w:name="_Toc49329276"/>
      <w:bookmarkStart w:id="142" w:name="_Toc7194"/>
      <w:bookmarkStart w:id="143" w:name="_Toc17774"/>
      <w:bookmarkStart w:id="144" w:name="_Toc13202"/>
      <w:bookmarkStart w:id="145" w:name="_Toc30561"/>
      <w:bookmarkStart w:id="146" w:name="_Toc374378439"/>
      <w:bookmarkStart w:id="147" w:name="_Toc334432604"/>
      <w:bookmarkStart w:id="148" w:name="_Toc17925"/>
      <w:bookmarkStart w:id="149" w:name="_Toc22689"/>
      <w:bookmarkStart w:id="150" w:name="_Toc16582"/>
      <w:r>
        <w:rPr>
          <w:rFonts w:hint="eastAsia" w:ascii="宋体" w:hAnsi="宋体"/>
          <w:b/>
          <w:bCs/>
          <w:color w:val="auto"/>
          <w:sz w:val="44"/>
          <w:szCs w:val="44"/>
          <w:highlight w:val="none"/>
        </w:rPr>
        <w:t>文件包装袋</w:t>
      </w:r>
      <w:bookmarkEnd w:id="141"/>
      <w:r>
        <w:rPr>
          <w:rFonts w:hint="eastAsia" w:ascii="宋体" w:hAnsi="宋体"/>
          <w:b/>
          <w:bCs/>
          <w:color w:val="auto"/>
          <w:sz w:val="44"/>
          <w:szCs w:val="44"/>
          <w:highlight w:val="none"/>
        </w:rPr>
        <w:t>封面标贴格式</w:t>
      </w:r>
      <w:bookmarkEnd w:id="142"/>
      <w:bookmarkEnd w:id="143"/>
      <w:bookmarkEnd w:id="144"/>
      <w:bookmarkEnd w:id="145"/>
      <w:bookmarkEnd w:id="146"/>
      <w:bookmarkEnd w:id="147"/>
      <w:bookmarkEnd w:id="148"/>
      <w:bookmarkEnd w:id="149"/>
      <w:bookmarkEnd w:id="150"/>
    </w:p>
    <w:tbl>
      <w:tblPr>
        <w:tblStyle w:val="19"/>
        <w:tblW w:w="9329" w:type="dxa"/>
        <w:jc w:val="center"/>
        <w:tblBorders>
          <w:top w:val="dashSmallGap" w:color="003366" w:sz="2" w:space="0"/>
          <w:left w:val="dashSmallGap" w:color="003366" w:sz="2" w:space="0"/>
          <w:bottom w:val="dashSmallGap" w:color="003366" w:sz="2" w:space="0"/>
          <w:right w:val="dashSmallGap" w:color="003366" w:sz="2" w:space="0"/>
          <w:insideH w:val="dashSmallGap" w:color="003366" w:sz="2" w:space="0"/>
          <w:insideV w:val="dashSmallGap" w:color="003366" w:sz="2" w:space="0"/>
        </w:tblBorders>
        <w:tblLayout w:type="fixed"/>
        <w:tblCellMar>
          <w:top w:w="0" w:type="dxa"/>
          <w:left w:w="108" w:type="dxa"/>
          <w:bottom w:w="0" w:type="dxa"/>
          <w:right w:w="108" w:type="dxa"/>
        </w:tblCellMar>
      </w:tblPr>
      <w:tblGrid>
        <w:gridCol w:w="9329"/>
      </w:tblGrid>
      <w:tr>
        <w:tblPrEx>
          <w:tblBorders>
            <w:top w:val="dashSmallGap" w:color="003366" w:sz="2" w:space="0"/>
            <w:left w:val="dashSmallGap" w:color="003366" w:sz="2" w:space="0"/>
            <w:bottom w:val="dashSmallGap" w:color="003366" w:sz="2" w:space="0"/>
            <w:right w:val="dashSmallGap" w:color="003366" w:sz="2" w:space="0"/>
            <w:insideH w:val="dashSmallGap" w:color="003366" w:sz="2" w:space="0"/>
            <w:insideV w:val="dashSmallGap" w:color="003366" w:sz="2" w:space="0"/>
          </w:tblBorders>
          <w:tblCellMar>
            <w:top w:w="0" w:type="dxa"/>
            <w:left w:w="108" w:type="dxa"/>
            <w:bottom w:w="0" w:type="dxa"/>
            <w:right w:w="108" w:type="dxa"/>
          </w:tblCellMar>
        </w:tblPrEx>
        <w:trPr>
          <w:trHeight w:val="9085" w:hRule="atLeast"/>
          <w:jc w:val="center"/>
        </w:trPr>
        <w:tc>
          <w:tcPr>
            <w:tcW w:w="9329" w:type="dxa"/>
            <w:shd w:val="clear" w:color="auto" w:fill="FFFFFF"/>
            <w:noWrap w:val="0"/>
            <w:vAlign w:val="top"/>
          </w:tcPr>
          <w:p>
            <w:pPr>
              <w:rPr>
                <w:rFonts w:ascii="宋体"/>
                <w:color w:val="auto"/>
                <w:sz w:val="18"/>
                <w:szCs w:val="18"/>
                <w:highlight w:val="none"/>
              </w:rPr>
            </w:pPr>
          </w:p>
          <w:p>
            <w:pPr>
              <w:jc w:val="center"/>
              <w:rPr>
                <w:rFonts w:ascii="宋体"/>
                <w:b/>
                <w:color w:val="auto"/>
                <w:sz w:val="48"/>
                <w:szCs w:val="48"/>
                <w:highlight w:val="none"/>
              </w:rPr>
            </w:pPr>
          </w:p>
          <w:p>
            <w:pPr>
              <w:jc w:val="center"/>
              <w:rPr>
                <w:rFonts w:ascii="宋体"/>
                <w:b/>
                <w:bCs/>
                <w:color w:val="auto"/>
                <w:sz w:val="24"/>
                <w:highlight w:val="none"/>
              </w:rPr>
            </w:pPr>
          </w:p>
          <w:p>
            <w:pPr>
              <w:jc w:val="center"/>
              <w:rPr>
                <w:rFonts w:ascii="宋体"/>
                <w:b/>
                <w:bCs/>
                <w:color w:val="auto"/>
                <w:sz w:val="24"/>
                <w:highlight w:val="none"/>
                <w:lang w:val="en-GB"/>
              </w:rPr>
            </w:pPr>
          </w:p>
          <w:p>
            <w:pPr>
              <w:jc w:val="center"/>
              <w:rPr>
                <w:rFonts w:ascii="宋体"/>
                <w:b/>
                <w:bCs/>
                <w:color w:val="auto"/>
                <w:sz w:val="24"/>
                <w:highlight w:val="none"/>
                <w:lang w:val="en-GB"/>
              </w:rPr>
            </w:pPr>
          </w:p>
          <w:p>
            <w:pPr>
              <w:spacing w:line="360" w:lineRule="auto"/>
              <w:jc w:val="center"/>
              <w:rPr>
                <w:rFonts w:ascii="宋体"/>
                <w:b/>
                <w:bCs/>
                <w:color w:val="auto"/>
                <w:sz w:val="72"/>
                <w:szCs w:val="72"/>
                <w:highlight w:val="none"/>
              </w:rPr>
            </w:pPr>
            <w:r>
              <w:rPr>
                <w:rFonts w:hint="eastAsia" w:ascii="宋体" w:hAnsi="宋体"/>
                <w:b/>
                <w:bCs/>
                <w:color w:val="auto"/>
                <w:sz w:val="72"/>
                <w:szCs w:val="72"/>
                <w:highlight w:val="none"/>
                <w:lang w:eastAsia="zh-CN"/>
              </w:rPr>
              <w:t>资格审查</w:t>
            </w:r>
            <w:r>
              <w:rPr>
                <w:rFonts w:hint="eastAsia" w:ascii="宋体" w:hAnsi="宋体"/>
                <w:b/>
                <w:bCs/>
                <w:color w:val="auto"/>
                <w:sz w:val="72"/>
                <w:szCs w:val="72"/>
                <w:highlight w:val="none"/>
              </w:rPr>
              <w:t>文件</w:t>
            </w:r>
          </w:p>
          <w:p>
            <w:pPr>
              <w:jc w:val="center"/>
              <w:rPr>
                <w:rFonts w:ascii="宋体"/>
                <w:b/>
                <w:bCs/>
                <w:color w:val="auto"/>
                <w:sz w:val="24"/>
                <w:highlight w:val="none"/>
                <w:lang w:val="en-GB"/>
              </w:rPr>
            </w:pPr>
          </w:p>
          <w:p>
            <w:pPr>
              <w:spacing w:line="300" w:lineRule="auto"/>
              <w:jc w:val="center"/>
              <w:rPr>
                <w:rFonts w:ascii="宋体"/>
                <w:color w:val="auto"/>
                <w:sz w:val="24"/>
                <w:highlight w:val="none"/>
              </w:rPr>
            </w:pPr>
            <w:r>
              <w:rPr>
                <w:rFonts w:hint="eastAsia" w:ascii="宋体" w:hAnsi="宋体"/>
                <w:bCs/>
                <w:color w:val="auto"/>
                <w:sz w:val="24"/>
                <w:highlight w:val="none"/>
                <w:lang w:val="en-GB"/>
              </w:rPr>
              <w:t>密封内容：</w:t>
            </w:r>
            <w:r>
              <w:rPr>
                <w:rFonts w:hint="eastAsia" w:ascii="宋体" w:hAnsi="宋体"/>
                <w:color w:val="auto"/>
                <w:sz w:val="24"/>
                <w:highlight w:val="none"/>
                <w:lang w:eastAsia="zh-CN"/>
              </w:rPr>
              <w:t>资格审查</w:t>
            </w:r>
            <w:r>
              <w:rPr>
                <w:rFonts w:hint="eastAsia" w:ascii="宋体" w:hAnsi="宋体"/>
                <w:color w:val="auto"/>
                <w:sz w:val="24"/>
                <w:highlight w:val="none"/>
              </w:rPr>
              <w:t>文件（□正本</w:t>
            </w:r>
            <w:r>
              <w:rPr>
                <w:rFonts w:ascii="宋体" w:hAnsi="宋体"/>
                <w:color w:val="auto"/>
                <w:sz w:val="24"/>
                <w:highlight w:val="none"/>
              </w:rPr>
              <w:t>/</w:t>
            </w:r>
            <w:r>
              <w:rPr>
                <w:rFonts w:hint="eastAsia" w:ascii="宋体" w:hAnsi="宋体"/>
                <w:color w:val="auto"/>
                <w:sz w:val="24"/>
                <w:highlight w:val="none"/>
              </w:rPr>
              <w:t>□副本</w:t>
            </w:r>
            <w:r>
              <w:rPr>
                <w:rFonts w:ascii="宋体" w:hAnsi="宋体"/>
                <w:color w:val="auto"/>
                <w:sz w:val="24"/>
                <w:highlight w:val="none"/>
              </w:rPr>
              <w:t>/</w:t>
            </w:r>
            <w:r>
              <w:rPr>
                <w:rFonts w:hint="eastAsia" w:ascii="宋体" w:hAnsi="宋体"/>
                <w:color w:val="auto"/>
                <w:sz w:val="24"/>
                <w:highlight w:val="none"/>
              </w:rPr>
              <w:t>□电子光盘）</w:t>
            </w:r>
          </w:p>
          <w:p>
            <w:pPr>
              <w:spacing w:line="360" w:lineRule="auto"/>
              <w:jc w:val="center"/>
              <w:rPr>
                <w:rFonts w:ascii="宋体"/>
                <w:b/>
                <w:color w:val="auto"/>
                <w:szCs w:val="21"/>
                <w:highlight w:val="none"/>
                <w:lang w:val="en-GB"/>
              </w:rPr>
            </w:pPr>
            <w:r>
              <w:rPr>
                <w:rFonts w:hint="eastAsia" w:ascii="宋体" w:hAnsi="宋体"/>
                <w:b/>
                <w:color w:val="auto"/>
                <w:szCs w:val="21"/>
                <w:highlight w:val="none"/>
                <w:lang w:eastAsia="zh-CN"/>
              </w:rPr>
              <w:t>投标人</w:t>
            </w:r>
            <w:r>
              <w:rPr>
                <w:rFonts w:hint="eastAsia" w:ascii="宋体" w:hAnsi="宋体"/>
                <w:b/>
                <w:color w:val="auto"/>
                <w:szCs w:val="21"/>
                <w:highlight w:val="none"/>
                <w:lang w:val="en-GB"/>
              </w:rPr>
              <w:t>于密封前自行对上述资料的密封情况进行自查，并于相应“□”处中打“√”</w:t>
            </w:r>
          </w:p>
          <w:p>
            <w:pPr>
              <w:ind w:firstLine="2474" w:firstLineChars="1027"/>
              <w:rPr>
                <w:rFonts w:ascii="宋体"/>
                <w:b/>
                <w:color w:val="auto"/>
                <w:sz w:val="24"/>
                <w:szCs w:val="36"/>
                <w:highlight w:val="none"/>
                <w:lang w:val="en-GB"/>
              </w:rPr>
            </w:pPr>
          </w:p>
          <w:p>
            <w:pPr>
              <w:spacing w:line="360" w:lineRule="auto"/>
              <w:ind w:right="145" w:rightChars="69"/>
              <w:jc w:val="center"/>
              <w:rPr>
                <w:rFonts w:hint="eastAsia" w:ascii="宋体" w:eastAsia="宋体"/>
                <w:b/>
                <w:color w:val="auto"/>
                <w:sz w:val="24"/>
                <w:highlight w:val="none"/>
                <w:lang w:val="en-GB" w:eastAsia="zh-CN"/>
              </w:rPr>
            </w:pPr>
            <w:r>
              <w:rPr>
                <w:rFonts w:hint="eastAsia" w:ascii="宋体" w:hAnsi="宋体"/>
                <w:b/>
                <w:bCs/>
                <w:color w:val="auto"/>
                <w:sz w:val="24"/>
                <w:highlight w:val="none"/>
              </w:rPr>
              <w:t>项目名称</w:t>
            </w:r>
            <w:r>
              <w:rPr>
                <w:rFonts w:hint="eastAsia" w:ascii="宋体" w:hAnsi="宋体"/>
                <w:b/>
                <w:color w:val="auto"/>
                <w:sz w:val="24"/>
                <w:highlight w:val="none"/>
                <w:lang w:val="en-GB"/>
              </w:rPr>
              <w:t>：</w:t>
            </w:r>
            <w:r>
              <w:rPr>
                <w:rFonts w:hint="eastAsia" w:ascii="宋体" w:hAnsi="宋体"/>
                <w:b/>
                <w:color w:val="auto"/>
                <w:sz w:val="24"/>
                <w:highlight w:val="none"/>
                <w:lang w:val="en-GB" w:eastAsia="zh-CN"/>
              </w:rPr>
              <w:t>吉利竹甫村车辆停放管理服务</w:t>
            </w:r>
          </w:p>
          <w:p>
            <w:pPr>
              <w:ind w:firstLine="1079" w:firstLineChars="448"/>
              <w:rPr>
                <w:b/>
                <w:bCs/>
                <w:color w:val="auto"/>
                <w:sz w:val="24"/>
                <w:highlight w:val="none"/>
              </w:rPr>
            </w:pPr>
          </w:p>
          <w:p>
            <w:pPr>
              <w:ind w:firstLine="1079" w:firstLineChars="448"/>
              <w:rPr>
                <w:b/>
                <w:bCs/>
                <w:color w:val="auto"/>
                <w:sz w:val="24"/>
                <w:highlight w:val="none"/>
              </w:rPr>
            </w:pPr>
          </w:p>
          <w:p>
            <w:pPr>
              <w:ind w:firstLine="1079" w:firstLineChars="448"/>
              <w:rPr>
                <w:b/>
                <w:bCs/>
                <w:color w:val="auto"/>
                <w:sz w:val="24"/>
                <w:highlight w:val="none"/>
              </w:rPr>
            </w:pPr>
          </w:p>
          <w:p>
            <w:pPr>
              <w:ind w:firstLine="1079" w:firstLineChars="448"/>
              <w:rPr>
                <w:b/>
                <w:bCs/>
                <w:color w:val="auto"/>
                <w:sz w:val="24"/>
                <w:highlight w:val="none"/>
              </w:rPr>
            </w:pPr>
          </w:p>
          <w:p>
            <w:pPr>
              <w:spacing w:line="360" w:lineRule="auto"/>
              <w:jc w:val="center"/>
              <w:rPr>
                <w:rFonts w:ascii="宋体" w:hAnsi="宋体"/>
                <w:bCs/>
                <w:color w:val="auto"/>
                <w:sz w:val="28"/>
                <w:highlight w:val="none"/>
              </w:rPr>
            </w:pPr>
            <w:r>
              <w:rPr>
                <w:rFonts w:hint="eastAsia"/>
                <w:bCs/>
                <w:color w:val="auto"/>
                <w:sz w:val="28"/>
                <w:highlight w:val="none"/>
              </w:rPr>
              <w:t>投标人：</w:t>
            </w:r>
            <w:r>
              <w:rPr>
                <w:rFonts w:ascii="宋体" w:hAnsi="宋体"/>
                <w:bCs/>
                <w:color w:val="auto"/>
                <w:sz w:val="28"/>
                <w:highlight w:val="none"/>
              </w:rPr>
              <w:t>(</w:t>
            </w:r>
            <w:r>
              <w:rPr>
                <w:rFonts w:hint="eastAsia" w:ascii="宋体" w:hAnsi="宋体"/>
                <w:bCs/>
                <w:color w:val="auto"/>
                <w:sz w:val="28"/>
                <w:highlight w:val="none"/>
              </w:rPr>
              <w:t>加盖公章</w:t>
            </w:r>
            <w:r>
              <w:rPr>
                <w:rFonts w:ascii="宋体" w:hAnsi="宋体"/>
                <w:bCs/>
                <w:color w:val="auto"/>
                <w:sz w:val="28"/>
                <w:highlight w:val="none"/>
              </w:rPr>
              <w:t>)</w:t>
            </w:r>
          </w:p>
          <w:p>
            <w:pPr>
              <w:jc w:val="center"/>
              <w:rPr>
                <w:rFonts w:ascii="宋体"/>
                <w:bCs/>
                <w:color w:val="auto"/>
                <w:sz w:val="28"/>
                <w:szCs w:val="28"/>
                <w:highlight w:val="none"/>
              </w:rPr>
            </w:pPr>
          </w:p>
          <w:p>
            <w:pPr>
              <w:spacing w:after="120" w:afterLines="50"/>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在</w:t>
            </w:r>
            <w:r>
              <w:rPr>
                <w:rFonts w:hint="eastAsia" w:asciiTheme="minorEastAsia" w:hAnsiTheme="minorEastAsia" w:eastAsiaTheme="minorEastAsia" w:cstheme="minorEastAsia"/>
                <w:bCs/>
                <w:color w:val="auto"/>
                <w:sz w:val="28"/>
                <w:szCs w:val="28"/>
                <w:highlight w:val="none"/>
                <w:lang w:eastAsia="zh-CN"/>
              </w:rPr>
              <w:t>2024</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lang w:val="en-US" w:eastAsia="zh-CN"/>
              </w:rPr>
              <w:t>2</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lang w:val="en-US" w:eastAsia="zh-CN"/>
              </w:rPr>
              <w:t>8</w:t>
            </w:r>
            <w:r>
              <w:rPr>
                <w:rFonts w:hint="eastAsia" w:asciiTheme="minorEastAsia" w:hAnsiTheme="minorEastAsia" w:eastAsiaTheme="minorEastAsia" w:cstheme="minorEastAsia"/>
                <w:bCs/>
                <w:color w:val="auto"/>
                <w:sz w:val="28"/>
                <w:szCs w:val="28"/>
                <w:highlight w:val="none"/>
              </w:rPr>
              <w:t>日</w:t>
            </w:r>
            <w:r>
              <w:rPr>
                <w:rFonts w:hint="eastAsia" w:asciiTheme="minorEastAsia" w:hAnsiTheme="minorEastAsia" w:eastAsiaTheme="minorEastAsia" w:cstheme="minorEastAsia"/>
                <w:bCs/>
                <w:color w:val="auto"/>
                <w:sz w:val="28"/>
                <w:szCs w:val="28"/>
                <w:highlight w:val="none"/>
                <w:lang w:eastAsia="zh-CN"/>
              </w:rPr>
              <w:t>上</w:t>
            </w:r>
            <w:r>
              <w:rPr>
                <w:rFonts w:hint="eastAsia" w:asciiTheme="minorEastAsia" w:hAnsiTheme="minorEastAsia" w:eastAsiaTheme="minorEastAsia" w:cstheme="minorEastAsia"/>
                <w:bCs/>
                <w:color w:val="auto"/>
                <w:sz w:val="28"/>
                <w:szCs w:val="28"/>
                <w:highlight w:val="none"/>
              </w:rPr>
              <w:t>午</w:t>
            </w:r>
            <w:r>
              <w:rPr>
                <w:rFonts w:hint="eastAsia" w:asciiTheme="minorEastAsia" w:hAnsiTheme="minorEastAsia" w:eastAsiaTheme="minorEastAsia" w:cstheme="minorEastAsia"/>
                <w:bCs/>
                <w:color w:val="auto"/>
                <w:sz w:val="28"/>
                <w:szCs w:val="28"/>
                <w:highlight w:val="none"/>
                <w:lang w:val="en-US" w:eastAsia="zh-CN"/>
              </w:rPr>
              <w:t>9</w:t>
            </w: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color w:val="auto"/>
                <w:sz w:val="28"/>
                <w:szCs w:val="28"/>
                <w:highlight w:val="none"/>
                <w:lang w:val="en-US" w:eastAsia="zh-CN"/>
              </w:rPr>
              <w:t>00</w:t>
            </w:r>
            <w:r>
              <w:rPr>
                <w:rFonts w:hint="eastAsia" w:asciiTheme="minorEastAsia" w:hAnsiTheme="minorEastAsia" w:eastAsiaTheme="minorEastAsia" w:cstheme="minorEastAsia"/>
                <w:bCs/>
                <w:color w:val="auto"/>
                <w:sz w:val="28"/>
                <w:szCs w:val="28"/>
                <w:highlight w:val="none"/>
              </w:rPr>
              <w:t>之前不得启封</w:t>
            </w:r>
          </w:p>
          <w:p>
            <w:pPr>
              <w:ind w:firstLine="2800" w:firstLineChars="1000"/>
              <w:rPr>
                <w:rFonts w:hint="eastAsia" w:asciiTheme="minorEastAsia" w:hAnsiTheme="minorEastAsia" w:eastAsiaTheme="minorEastAsia" w:cstheme="minorEastAsia"/>
                <w:bCs/>
                <w:color w:val="auto"/>
                <w:sz w:val="28"/>
                <w:szCs w:val="28"/>
                <w:highlight w:val="none"/>
              </w:rPr>
            </w:pPr>
          </w:p>
          <w:p>
            <w:pPr>
              <w:ind w:firstLine="1400" w:firstLineChars="500"/>
              <w:rPr>
                <w:rFonts w:hint="eastAsia" w:ascii="宋体" w:eastAsia="宋体"/>
                <w:color w:val="auto"/>
                <w:sz w:val="24"/>
                <w:highlight w:val="none"/>
                <w:u w:val="single"/>
                <w:lang w:eastAsia="zh-CN"/>
              </w:rPr>
            </w:pPr>
            <w:r>
              <w:rPr>
                <w:rFonts w:hint="eastAsia" w:asciiTheme="minorEastAsia" w:hAnsiTheme="minorEastAsia" w:eastAsiaTheme="minorEastAsia" w:cstheme="minorEastAsia"/>
                <w:bCs/>
                <w:color w:val="auto"/>
                <w:sz w:val="28"/>
                <w:szCs w:val="28"/>
                <w:highlight w:val="none"/>
              </w:rPr>
              <w:t>递交地点：佛山市禅城区南庄镇紫洞南路106号南庄商业广场A1座四楼南庄镇公共资源交易所开标室</w:t>
            </w:r>
          </w:p>
        </w:tc>
      </w:tr>
    </w:tbl>
    <w:p>
      <w:pPr>
        <w:spacing w:before="120" w:beforeLines="50" w:line="360" w:lineRule="auto"/>
        <w:ind w:left="181"/>
        <w:rPr>
          <w:rFonts w:ascii="宋体"/>
          <w:b/>
          <w:bCs/>
          <w:color w:val="auto"/>
          <w:sz w:val="24"/>
          <w:highlight w:val="none"/>
          <w:lang w:val="en-GB"/>
        </w:rPr>
      </w:pPr>
    </w:p>
    <w:p>
      <w:pPr>
        <w:numPr>
          <w:ilvl w:val="0"/>
          <w:numId w:val="52"/>
        </w:numPr>
        <w:spacing w:before="120" w:beforeLines="50" w:line="360" w:lineRule="auto"/>
        <w:ind w:left="601"/>
        <w:rPr>
          <w:rFonts w:hint="eastAsia" w:ascii="宋体" w:hAnsi="宋体" w:eastAsia="宋体" w:cs="宋体"/>
          <w:b/>
          <w:bCs/>
          <w:color w:val="auto"/>
          <w:sz w:val="24"/>
          <w:highlight w:val="none"/>
          <w:lang w:val="en-GB"/>
        </w:rPr>
      </w:pPr>
      <w:r>
        <w:rPr>
          <w:rFonts w:hint="eastAsia" w:ascii="宋体" w:hAnsi="宋体" w:eastAsia="宋体" w:cs="宋体"/>
          <w:b/>
          <w:bCs/>
          <w:color w:val="auto"/>
          <w:sz w:val="24"/>
          <w:highlight w:val="none"/>
          <w:lang w:val="en-GB"/>
        </w:rPr>
        <w:t>重要提示：</w:t>
      </w:r>
    </w:p>
    <w:p>
      <w:pPr>
        <w:numPr>
          <w:ilvl w:val="0"/>
          <w:numId w:val="53"/>
        </w:numPr>
        <w:tabs>
          <w:tab w:val="left" w:pos="900"/>
          <w:tab w:val="clear" w:pos="780"/>
        </w:tabs>
        <w:spacing w:line="360" w:lineRule="auto"/>
        <w:ind w:left="538" w:leftChars="256"/>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eastAsia="zh-CN"/>
        </w:rPr>
        <w:t>资格审查</w:t>
      </w:r>
      <w:r>
        <w:rPr>
          <w:rFonts w:hint="eastAsia" w:ascii="宋体" w:hAnsi="宋体" w:eastAsia="宋体" w:cs="宋体"/>
          <w:color w:val="auto"/>
          <w:sz w:val="24"/>
          <w:highlight w:val="none"/>
          <w:lang w:val="en-GB"/>
        </w:rPr>
        <w:t>文件的正本、副本、电子光盘，均应密封在同一密封包中。若上述资料确实无法密封在同一密封包中，则可按实际情况分开密封，但须在密封包装上标明密封内容。</w:t>
      </w:r>
    </w:p>
    <w:p>
      <w:pPr>
        <w:numPr>
          <w:ilvl w:val="0"/>
          <w:numId w:val="53"/>
        </w:numPr>
        <w:tabs>
          <w:tab w:val="left" w:pos="900"/>
          <w:tab w:val="clear" w:pos="780"/>
        </w:tabs>
        <w:spacing w:line="360" w:lineRule="auto"/>
        <w:ind w:left="538" w:leftChars="256"/>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密封各文件资料时，应</w:t>
      </w:r>
      <w:r>
        <w:rPr>
          <w:rFonts w:hint="eastAsia" w:ascii="宋体" w:hAnsi="宋体" w:eastAsia="宋体" w:cs="宋体"/>
          <w:color w:val="auto"/>
          <w:sz w:val="24"/>
          <w:highlight w:val="none"/>
          <w:u w:val="single"/>
          <w:lang w:val="en-GB"/>
        </w:rPr>
        <w:t>在密封包装的封口</w:t>
      </w:r>
      <w:r>
        <w:rPr>
          <w:rFonts w:hint="eastAsia" w:ascii="宋体" w:hAnsi="宋体" w:eastAsia="宋体" w:cs="宋体"/>
          <w:color w:val="auto"/>
          <w:sz w:val="24"/>
          <w:highlight w:val="none"/>
          <w:lang w:val="en-GB"/>
        </w:rPr>
        <w:t>处加盖</w:t>
      </w:r>
      <w:r>
        <w:rPr>
          <w:rFonts w:hint="eastAsia" w:ascii="宋体" w:hAnsi="宋体" w:eastAsia="宋体" w:cs="宋体"/>
          <w:color w:val="auto"/>
          <w:sz w:val="24"/>
          <w:highlight w:val="none"/>
          <w:lang w:val="en-GB" w:eastAsia="zh-CN"/>
        </w:rPr>
        <w:t>投标人</w:t>
      </w:r>
      <w:r>
        <w:rPr>
          <w:rFonts w:hint="eastAsia" w:ascii="宋体" w:hAnsi="宋体" w:eastAsia="宋体" w:cs="宋体"/>
          <w:color w:val="auto"/>
          <w:sz w:val="24"/>
          <w:highlight w:val="none"/>
          <w:lang w:val="en-GB"/>
        </w:rPr>
        <w:t>公章。</w:t>
      </w:r>
    </w:p>
    <w:p>
      <w:pPr>
        <w:numPr>
          <w:ilvl w:val="0"/>
          <w:numId w:val="53"/>
        </w:numPr>
        <w:tabs>
          <w:tab w:val="left" w:pos="900"/>
          <w:tab w:val="clear" w:pos="780"/>
        </w:tabs>
        <w:spacing w:line="360" w:lineRule="auto"/>
        <w:ind w:left="601" w:leftChars="257" w:hanging="61"/>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因交通或有不便，递交</w:t>
      </w:r>
      <w:r>
        <w:rPr>
          <w:rFonts w:hint="eastAsia" w:ascii="宋体" w:hAnsi="宋体" w:eastAsia="宋体" w:cs="宋体"/>
          <w:color w:val="auto"/>
          <w:sz w:val="24"/>
          <w:highlight w:val="none"/>
          <w:lang w:val="en-GB" w:eastAsia="zh-CN"/>
        </w:rPr>
        <w:t>竞投</w:t>
      </w:r>
      <w:r>
        <w:rPr>
          <w:rFonts w:hint="eastAsia" w:ascii="宋体" w:hAnsi="宋体" w:eastAsia="宋体" w:cs="宋体"/>
          <w:color w:val="auto"/>
          <w:sz w:val="24"/>
          <w:highlight w:val="none"/>
          <w:lang w:val="en-GB"/>
        </w:rPr>
        <w:t>文件时务请</w:t>
      </w:r>
      <w:r>
        <w:rPr>
          <w:rFonts w:hint="eastAsia" w:ascii="宋体" w:hAnsi="宋体" w:eastAsia="宋体" w:cs="宋体"/>
          <w:b/>
          <w:color w:val="auto"/>
          <w:sz w:val="24"/>
          <w:highlight w:val="none"/>
          <w:u w:val="single"/>
          <w:lang w:val="en-GB"/>
        </w:rPr>
        <w:t>提早到达</w:t>
      </w:r>
      <w:r>
        <w:rPr>
          <w:rFonts w:hint="eastAsia" w:ascii="宋体" w:hAnsi="宋体" w:eastAsia="宋体" w:cs="宋体"/>
          <w:color w:val="auto"/>
          <w:sz w:val="24"/>
          <w:highlight w:val="none"/>
          <w:lang w:val="en-GB"/>
        </w:rPr>
        <w:t>！</w:t>
      </w:r>
    </w:p>
    <w:p>
      <w:pPr>
        <w:pStyle w:val="6"/>
        <w:rPr>
          <w:rFonts w:hint="eastAsia" w:ascii="宋体" w:hAnsi="宋体"/>
          <w:color w:val="auto"/>
          <w:sz w:val="24"/>
          <w:highlight w:val="none"/>
          <w:lang w:val="en-GB"/>
        </w:rPr>
      </w:pPr>
    </w:p>
    <w:p>
      <w:pPr>
        <w:rPr>
          <w:rFonts w:hint="eastAsia" w:asciiTheme="minorEastAsia" w:hAnsiTheme="minorEastAsia" w:eastAsiaTheme="minorEastAsia" w:cstheme="minorEastAsia"/>
          <w:color w:val="auto"/>
          <w:highlight w:val="none"/>
          <w:lang w:eastAsia="zh-CN"/>
        </w:rPr>
      </w:pPr>
      <w:bookmarkStart w:id="151" w:name="_Toc28855"/>
      <w:r>
        <w:rPr>
          <w:rFonts w:hint="eastAsia" w:asciiTheme="minorEastAsia" w:hAnsiTheme="minorEastAsia" w:eastAsiaTheme="minorEastAsia" w:cstheme="minorEastAsia"/>
          <w:color w:val="auto"/>
          <w:highlight w:val="none"/>
          <w:lang w:eastAsia="zh-CN"/>
        </w:rPr>
        <w:br w:type="page"/>
      </w:r>
    </w:p>
    <w:p>
      <w:pPr>
        <w:pStyle w:val="41"/>
        <w:jc w:val="center"/>
        <w:outlineLvl w:val="1"/>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报价书</w:t>
      </w:r>
      <w:bookmarkEnd w:id="151"/>
    </w:p>
    <w:p>
      <w:pPr>
        <w:pStyle w:val="42"/>
        <w:tabs>
          <w:tab w:val="left" w:pos="5460"/>
        </w:tabs>
        <w:spacing w:line="360" w:lineRule="auto"/>
        <w:jc w:val="left"/>
        <w:rPr>
          <w:rFonts w:hint="eastAsia" w:asciiTheme="minorEastAsia" w:hAnsiTheme="minorEastAsia" w:eastAsiaTheme="minorEastAsia" w:cstheme="minorEastAsia"/>
          <w:bCs/>
          <w:color w:val="auto"/>
          <w:highlight w:val="none"/>
          <w:lang w:val="en-US" w:eastAsia="zh-CN"/>
        </w:rPr>
      </w:pPr>
    </w:p>
    <w:p>
      <w:pPr>
        <w:pStyle w:val="42"/>
        <w:tabs>
          <w:tab w:val="left" w:pos="5460"/>
        </w:tabs>
        <w:spacing w:line="360" w:lineRule="auto"/>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项目名称：吉利竹甫村车辆停放管理服务</w:t>
      </w:r>
    </w:p>
    <w:p>
      <w:pPr>
        <w:pStyle w:val="42"/>
        <w:tabs>
          <w:tab w:val="left" w:pos="5460"/>
        </w:tabs>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交易编号：GDZC-23JJ135</w:t>
      </w:r>
    </w:p>
    <w:p>
      <w:pPr>
        <w:pStyle w:val="42"/>
        <w:tabs>
          <w:tab w:val="left" w:pos="5460"/>
        </w:tabs>
        <w:spacing w:line="360" w:lineRule="auto"/>
        <w:jc w:val="left"/>
        <w:rPr>
          <w:rFonts w:hint="eastAsia" w:asciiTheme="minorEastAsia" w:hAnsiTheme="minorEastAsia" w:eastAsiaTheme="minorEastAsia" w:cstheme="minorEastAsia"/>
          <w:color w:val="auto"/>
          <w:sz w:val="24"/>
          <w:szCs w:val="24"/>
          <w:highlight w:val="none"/>
          <w:lang w:val="en-US" w:eastAsia="zh-CN"/>
        </w:rPr>
      </w:pPr>
    </w:p>
    <w:p>
      <w:pPr>
        <w:pStyle w:val="42"/>
        <w:tabs>
          <w:tab w:val="left" w:pos="5460"/>
        </w:tabs>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fldChar w:fldCharType="begin"/>
      </w:r>
      <w:r>
        <w:rPr>
          <w:rFonts w:hint="eastAsia" w:asciiTheme="minorEastAsia" w:hAnsiTheme="minorEastAsia" w:eastAsiaTheme="minorEastAsia" w:cstheme="minorEastAsia"/>
          <w:color w:val="auto"/>
          <w:sz w:val="24"/>
          <w:szCs w:val="24"/>
          <w:highlight w:val="none"/>
          <w:lang w:val="en-US" w:eastAsia="zh-CN"/>
        </w:rPr>
        <w:instrText xml:space="preserve"> DOCVARIABLE  采购编号  \* MERGEFORMAT </w:instrText>
      </w:r>
      <w:r>
        <w:rPr>
          <w:rFonts w:hint="eastAsia" w:asciiTheme="minorEastAsia" w:hAnsiTheme="minorEastAsia" w:eastAsiaTheme="minorEastAsia" w:cstheme="minorEastAsia"/>
          <w:color w:val="auto"/>
          <w:sz w:val="24"/>
          <w:szCs w:val="24"/>
          <w:highlight w:val="none"/>
          <w:lang w:val="en-US" w:eastAsia="zh-CN"/>
        </w:rPr>
        <w:fldChar w:fldCharType="end"/>
      </w:r>
    </w:p>
    <w:tbl>
      <w:tblPr>
        <w:tblStyle w:val="19"/>
        <w:tblW w:w="85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5"/>
        <w:gridCol w:w="2188"/>
        <w:gridCol w:w="2700"/>
        <w:gridCol w:w="2010"/>
        <w:gridCol w:w="10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7"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sz w:val="24"/>
                <w:szCs w:val="24"/>
                <w:highlight w:val="none"/>
                <w:lang w:eastAsia="zh-CN"/>
              </w:rPr>
            </w:pPr>
            <w:bookmarkStart w:id="152" w:name="EB508be0ed3e2c4bca83ef604bb8ace262"/>
            <w:r>
              <w:rPr>
                <w:rFonts w:hint="eastAsia" w:asciiTheme="minorEastAsia" w:hAnsiTheme="minorEastAsia" w:eastAsiaTheme="minorEastAsia" w:cstheme="minorEastAsia"/>
                <w:color w:val="auto"/>
                <w:kern w:val="0"/>
                <w:sz w:val="24"/>
                <w:szCs w:val="24"/>
                <w:highlight w:val="none"/>
                <w:lang w:bidi="ar"/>
              </w:rPr>
              <w:t>序号</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bidi="ar"/>
              </w:rPr>
              <w:t>采购项目名称</w:t>
            </w:r>
            <w:r>
              <w:rPr>
                <w:rFonts w:hint="eastAsia" w:asciiTheme="minorEastAsia" w:hAnsiTheme="minorEastAsia" w:eastAsiaTheme="minorEastAsia" w:cstheme="minorEastAsia"/>
                <w:b/>
                <w:color w:val="auto"/>
                <w:kern w:val="0"/>
                <w:sz w:val="24"/>
                <w:szCs w:val="24"/>
                <w:highlight w:val="none"/>
                <w:lang w:bidi="ar"/>
              </w:rPr>
              <w:t>/</w:t>
            </w:r>
            <w:r>
              <w:rPr>
                <w:rFonts w:hint="eastAsia" w:asciiTheme="minorEastAsia" w:hAnsiTheme="minorEastAsia" w:eastAsiaTheme="minorEastAsia" w:cstheme="minorEastAsia"/>
                <w:color w:val="auto"/>
                <w:kern w:val="0"/>
                <w:sz w:val="24"/>
                <w:szCs w:val="24"/>
                <w:highlight w:val="none"/>
                <w:lang w:bidi="ar"/>
              </w:rPr>
              <w:t>采购包名称</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bidi="ar"/>
              </w:rPr>
              <w:t>投</w:t>
            </w:r>
            <w:r>
              <w:rPr>
                <w:rFonts w:hint="eastAsia" w:asciiTheme="minorEastAsia" w:hAnsiTheme="minorEastAsia" w:eastAsiaTheme="minorEastAsia" w:cstheme="minorEastAsia"/>
                <w:color w:val="auto"/>
                <w:kern w:val="0"/>
                <w:sz w:val="24"/>
                <w:szCs w:val="24"/>
                <w:highlight w:val="none"/>
                <w:lang w:bidi="ar"/>
              </w:rPr>
              <w:t>标报价（元</w:t>
            </w:r>
            <w:r>
              <w:rPr>
                <w:rFonts w:hint="eastAsia" w:asciiTheme="minorEastAsia" w:hAnsiTheme="minorEastAsia" w:eastAsiaTheme="minorEastAsia" w:cstheme="minorEastAsia"/>
                <w:color w:val="auto"/>
                <w:kern w:val="0"/>
                <w:sz w:val="24"/>
                <w:szCs w:val="24"/>
                <w:highlight w:val="none"/>
                <w:lang w:val="en-US" w:eastAsia="zh-CN" w:bidi="ar"/>
              </w:rPr>
              <w:t>/年</w:t>
            </w:r>
            <w:r>
              <w:rPr>
                <w:rFonts w:hint="eastAsia" w:asciiTheme="minorEastAsia" w:hAnsiTheme="minorEastAsia" w:eastAsiaTheme="minorEastAsia" w:cstheme="minorEastAsia"/>
                <w:color w:val="auto"/>
                <w:kern w:val="0"/>
                <w:sz w:val="24"/>
                <w:szCs w:val="24"/>
                <w:highlight w:val="none"/>
                <w:lang w:bidi="ar"/>
              </w:rPr>
              <w:t>）</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bidi="ar"/>
              </w:rPr>
              <w:t>服务期</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8"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188"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吉利竹甫村车辆停放管理服务</w:t>
            </w:r>
          </w:p>
        </w:tc>
        <w:tc>
          <w:tcPr>
            <w:tcW w:w="2700"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2010"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服务期：5年，具体起止日期以合同约定为准。</w:t>
            </w:r>
          </w:p>
        </w:tc>
        <w:tc>
          <w:tcPr>
            <w:tcW w:w="1027" w:type="dxa"/>
            <w:noWrap w:val="0"/>
            <w:vAlign w:val="center"/>
          </w:tcPr>
          <w:p>
            <w:pPr>
              <w:rPr>
                <w:rFonts w:hint="eastAsia" w:asciiTheme="minorEastAsia" w:hAnsiTheme="minorEastAsia" w:eastAsiaTheme="minorEastAsia" w:cstheme="minorEastAsia"/>
                <w:color w:val="auto"/>
                <w:sz w:val="24"/>
                <w:szCs w:val="24"/>
                <w:highlight w:val="none"/>
              </w:rPr>
            </w:pPr>
          </w:p>
        </w:tc>
      </w:tr>
    </w:tbl>
    <w:p>
      <w:pPr>
        <w:widowControl/>
        <w:jc w:val="left"/>
        <w:rPr>
          <w:rFonts w:hint="eastAsia" w:asciiTheme="minorEastAsia" w:hAnsiTheme="minorEastAsia" w:eastAsiaTheme="minorEastAsia" w:cstheme="minorEastAsia"/>
          <w:color w:val="auto"/>
          <w:sz w:val="24"/>
          <w:szCs w:val="24"/>
          <w:highlight w:val="none"/>
        </w:rPr>
      </w:pPr>
    </w:p>
    <w:p>
      <w:pPr>
        <w:pStyle w:val="42"/>
        <w:rPr>
          <w:rFonts w:hint="eastAsia" w:asciiTheme="minorEastAsia" w:hAnsiTheme="minorEastAsia" w:eastAsiaTheme="minorEastAsia" w:cstheme="minorEastAsia"/>
          <w:color w:val="auto"/>
          <w:sz w:val="24"/>
          <w:szCs w:val="24"/>
          <w:highlight w:val="none"/>
          <w:lang w:val="en-US" w:eastAsia="zh-CN"/>
        </w:rPr>
      </w:pPr>
    </w:p>
    <w:p>
      <w:pPr>
        <w:pStyle w:val="42"/>
        <w:rPr>
          <w:rFonts w:hint="eastAsia" w:asciiTheme="minorEastAsia" w:hAnsiTheme="minorEastAsia" w:eastAsiaTheme="minorEastAsia" w:cstheme="minorEastAsia"/>
          <w:color w:val="auto"/>
          <w:sz w:val="24"/>
          <w:szCs w:val="24"/>
          <w:highlight w:val="none"/>
          <w:lang w:val="en-US" w:eastAsia="zh-CN"/>
        </w:rPr>
      </w:pPr>
    </w:p>
    <w:bookmarkEnd w:id="152"/>
    <w:p>
      <w:pPr>
        <w:pStyle w:val="42"/>
        <w:rPr>
          <w:rFonts w:hint="eastAsia" w:asciiTheme="minorEastAsia" w:hAnsiTheme="minorEastAsia" w:eastAsiaTheme="minorEastAsia" w:cstheme="minorEastAsia"/>
          <w:color w:val="auto"/>
          <w:sz w:val="24"/>
          <w:szCs w:val="24"/>
          <w:highlight w:val="none"/>
          <w:lang w:val="en-US" w:eastAsia="zh-CN"/>
        </w:rPr>
      </w:pPr>
    </w:p>
    <w:p>
      <w:pPr>
        <w:pStyle w:val="4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填表要求：</w:t>
      </w:r>
    </w:p>
    <w:p>
      <w:pPr>
        <w:pStyle w:val="43"/>
        <w:numPr>
          <w:ilvl w:val="0"/>
          <w:numId w:val="54"/>
        </w:numPr>
        <w:rPr>
          <w:rFonts w:hint="eastAsia" w:asciiTheme="minorEastAsia" w:hAnsiTheme="minorEastAsia" w:eastAsiaTheme="minorEastAsia" w:cstheme="minorEastAsia"/>
          <w:color w:val="auto"/>
          <w:sz w:val="24"/>
          <w:szCs w:val="24"/>
          <w:highlight w:val="none"/>
          <w:lang w:val="en-GB" w:eastAsia="zh-CN"/>
        </w:rPr>
      </w:pPr>
      <w:r>
        <w:rPr>
          <w:rFonts w:hint="eastAsia" w:asciiTheme="minorEastAsia" w:hAnsiTheme="minorEastAsia" w:eastAsiaTheme="minorEastAsia" w:cstheme="minorEastAsia"/>
          <w:color w:val="auto"/>
          <w:sz w:val="24"/>
          <w:szCs w:val="24"/>
          <w:highlight w:val="none"/>
          <w:lang w:val="en-GB" w:eastAsia="zh-CN"/>
        </w:rPr>
        <w:t>投标文件差异修正准则详见招标文件。</w:t>
      </w:r>
    </w:p>
    <w:p>
      <w:pPr>
        <w:pStyle w:val="43"/>
        <w:numPr>
          <w:ilvl w:val="0"/>
          <w:numId w:val="54"/>
        </w:numPr>
        <w:rPr>
          <w:rFonts w:hint="eastAsia" w:asciiTheme="minorEastAsia" w:hAnsiTheme="minorEastAsia" w:eastAsiaTheme="minorEastAsia" w:cstheme="minorEastAsia"/>
          <w:color w:val="auto"/>
          <w:sz w:val="24"/>
          <w:szCs w:val="24"/>
          <w:highlight w:val="none"/>
          <w:lang w:val="en-GB" w:eastAsia="zh-CN"/>
        </w:rPr>
      </w:pPr>
      <w:r>
        <w:rPr>
          <w:rFonts w:hint="eastAsia" w:asciiTheme="minorEastAsia" w:hAnsiTheme="minorEastAsia" w:eastAsiaTheme="minorEastAsia" w:cstheme="minorEastAsia"/>
          <w:color w:val="auto"/>
          <w:sz w:val="24"/>
          <w:szCs w:val="24"/>
          <w:highlight w:val="none"/>
          <w:lang w:val="en-GB" w:eastAsia="zh-CN"/>
        </w:rPr>
        <w:t>以上投标报价须满足“第二部分项目内容”的商务要求中“报价要求”的内容和要求。</w:t>
      </w:r>
    </w:p>
    <w:p>
      <w:pPr>
        <w:pStyle w:val="43"/>
        <w:numPr>
          <w:ilvl w:val="0"/>
          <w:numId w:val="54"/>
        </w:numPr>
        <w:rPr>
          <w:rFonts w:hint="eastAsia" w:asciiTheme="minorEastAsia" w:hAnsiTheme="minorEastAsia" w:eastAsiaTheme="minorEastAsia" w:cstheme="minorEastAsia"/>
          <w:color w:val="auto"/>
          <w:sz w:val="24"/>
          <w:szCs w:val="24"/>
          <w:highlight w:val="none"/>
          <w:lang w:val="en-GB" w:eastAsia="zh-CN"/>
        </w:rPr>
      </w:pPr>
      <w:r>
        <w:rPr>
          <w:rFonts w:hint="eastAsia" w:asciiTheme="minorEastAsia" w:hAnsiTheme="minorEastAsia" w:eastAsiaTheme="minorEastAsia" w:cstheme="minorEastAsia"/>
          <w:color w:val="auto"/>
          <w:sz w:val="24"/>
          <w:szCs w:val="24"/>
          <w:highlight w:val="none"/>
          <w:lang w:val="en-GB" w:eastAsia="zh-CN"/>
        </w:rPr>
        <w:t>开标内容与投标文件对应内容必须一致，否则，以开标公布的内容为准。</w:t>
      </w:r>
    </w:p>
    <w:p>
      <w:pPr>
        <w:pStyle w:val="43"/>
        <w:numPr>
          <w:ilvl w:val="0"/>
          <w:numId w:val="54"/>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GB" w:eastAsia="zh-CN"/>
        </w:rPr>
        <w:t>本表未按招标文件要求签名盖章将作无效投标处理。</w:t>
      </w:r>
    </w:p>
    <w:p>
      <w:pPr>
        <w:pStyle w:val="43"/>
        <w:spacing w:line="480" w:lineRule="auto"/>
        <w:rPr>
          <w:rFonts w:hint="eastAsia" w:asciiTheme="minorEastAsia" w:hAnsiTheme="minorEastAsia" w:eastAsiaTheme="minorEastAsia" w:cstheme="minorEastAsia"/>
          <w:b/>
          <w:color w:val="auto"/>
          <w:sz w:val="24"/>
          <w:szCs w:val="24"/>
          <w:highlight w:val="none"/>
          <w:lang w:val="en-GB" w:eastAsia="zh-CN"/>
        </w:rPr>
      </w:pPr>
    </w:p>
    <w:p>
      <w:pPr>
        <w:pStyle w:val="43"/>
        <w:spacing w:line="480" w:lineRule="auto"/>
        <w:rPr>
          <w:rFonts w:hint="eastAsia" w:asciiTheme="minorEastAsia" w:hAnsiTheme="minorEastAsia" w:eastAsiaTheme="minorEastAsia" w:cstheme="minorEastAsia"/>
          <w:b/>
          <w:color w:val="auto"/>
          <w:highlight w:val="none"/>
          <w:lang w:val="en-GB" w:eastAsia="zh-CN"/>
        </w:rPr>
      </w:pPr>
    </w:p>
    <w:p>
      <w:pPr>
        <w:pStyle w:val="43"/>
        <w:spacing w:line="480" w:lineRule="auto"/>
        <w:rPr>
          <w:rFonts w:hint="eastAsia" w:asciiTheme="minorEastAsia" w:hAnsiTheme="minorEastAsia" w:eastAsiaTheme="minorEastAsia" w:cstheme="minorEastAsia"/>
          <w:b/>
          <w:color w:val="auto"/>
          <w:highlight w:val="none"/>
          <w:lang w:val="en-GB" w:eastAsia="zh-CN"/>
        </w:rPr>
      </w:pPr>
    </w:p>
    <w:p>
      <w:pPr>
        <w:pStyle w:val="43"/>
        <w:spacing w:line="480" w:lineRule="auto"/>
        <w:rPr>
          <w:rFonts w:hint="eastAsia" w:asciiTheme="minorEastAsia" w:hAnsiTheme="minorEastAsia" w:eastAsiaTheme="minorEastAsia" w:cstheme="minorEastAsia"/>
          <w:b/>
          <w:color w:val="auto"/>
          <w:highlight w:val="none"/>
          <w:lang w:val="en-GB" w:eastAsia="zh-CN"/>
        </w:rPr>
      </w:pPr>
      <w:r>
        <w:rPr>
          <w:rFonts w:hint="eastAsia" w:asciiTheme="minorEastAsia" w:hAnsiTheme="minorEastAsia" w:eastAsiaTheme="minorEastAsia" w:cstheme="minorEastAsia"/>
          <w:b/>
          <w:color w:val="auto"/>
          <w:highlight w:val="none"/>
          <w:lang w:val="en-GB" w:eastAsia="zh-CN"/>
        </w:rPr>
        <w:t>投标人名称：</w:t>
      </w:r>
      <w:r>
        <w:rPr>
          <w:rFonts w:hint="eastAsia" w:asciiTheme="minorEastAsia" w:hAnsiTheme="minorEastAsia" w:eastAsiaTheme="minorEastAsia" w:cstheme="minorEastAsia"/>
          <w:b/>
          <w:color w:val="auto"/>
          <w:highlight w:val="none"/>
          <w:u w:val="single"/>
          <w:lang w:val="en-GB" w:eastAsia="zh-CN"/>
        </w:rPr>
        <w:t>（全称）</w:t>
      </w:r>
      <w:r>
        <w:rPr>
          <w:rFonts w:hint="eastAsia" w:asciiTheme="minorEastAsia" w:hAnsiTheme="minorEastAsia" w:eastAsiaTheme="minorEastAsia" w:cstheme="minorEastAsia"/>
          <w:b/>
          <w:color w:val="auto"/>
          <w:highlight w:val="none"/>
          <w:lang w:val="en-GB" w:eastAsia="zh-CN"/>
        </w:rPr>
        <w:t>（单位公章）</w:t>
      </w:r>
    </w:p>
    <w:p>
      <w:pPr>
        <w:pStyle w:val="43"/>
        <w:spacing w:line="360" w:lineRule="auto"/>
        <w:rPr>
          <w:rFonts w:hint="eastAsia"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日期：年月日</w:t>
      </w:r>
    </w:p>
    <w:p>
      <w:pPr>
        <w:pStyle w:val="44"/>
        <w:outlineLvl w:val="1"/>
        <w:rPr>
          <w:rFonts w:hint="eastAsia" w:asciiTheme="minorEastAsia" w:hAnsiTheme="minorEastAsia" w:eastAsiaTheme="minorEastAsia" w:cstheme="minorEastAsia"/>
          <w:color w:val="auto"/>
          <w:highlight w:val="none"/>
        </w:rPr>
      </w:pPr>
    </w:p>
    <w:p>
      <w:pPr>
        <w:pStyle w:val="45"/>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46"/>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报价清单明细表</w:t>
      </w:r>
    </w:p>
    <w:p>
      <w:pPr>
        <w:pStyle w:val="46"/>
        <w:spacing w:line="360" w:lineRule="auto"/>
        <w:jc w:val="center"/>
        <w:rPr>
          <w:rFonts w:hint="eastAsia" w:asciiTheme="minorEastAsia" w:hAnsiTheme="minorEastAsia" w:eastAsiaTheme="minorEastAsia" w:cstheme="minorEastAsia"/>
          <w:b/>
          <w:color w:val="auto"/>
          <w:sz w:val="32"/>
          <w:szCs w:val="32"/>
          <w:highlight w:val="none"/>
        </w:rPr>
      </w:pPr>
    </w:p>
    <w:p>
      <w:pPr>
        <w:pStyle w:val="46"/>
        <w:tabs>
          <w:tab w:val="left" w:pos="9300"/>
        </w:tabs>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项目名称：</w:t>
      </w:r>
      <w:r>
        <w:rPr>
          <w:rFonts w:hint="eastAsia" w:asciiTheme="minorEastAsia" w:hAnsiTheme="minorEastAsia" w:eastAsiaTheme="minorEastAsia" w:cstheme="minorEastAsia"/>
          <w:bCs/>
          <w:color w:val="auto"/>
          <w:sz w:val="24"/>
          <w:szCs w:val="24"/>
          <w:highlight w:val="none"/>
          <w:lang w:eastAsia="zh-CN"/>
        </w:rPr>
        <w:t>吉利竹甫村车辆停放管理服务</w:t>
      </w:r>
      <w:r>
        <w:rPr>
          <w:rFonts w:hint="eastAsia" w:asciiTheme="minorEastAsia" w:hAnsiTheme="minorEastAsia" w:eastAsiaTheme="minorEastAsia" w:cstheme="minorEastAsia"/>
          <w:bCs/>
          <w:color w:val="auto"/>
          <w:sz w:val="24"/>
          <w:szCs w:val="24"/>
          <w:highlight w:val="none"/>
        </w:rPr>
        <w:t>-</w:t>
      </w:r>
    </w:p>
    <w:p>
      <w:pPr>
        <w:pStyle w:val="46"/>
        <w:tabs>
          <w:tab w:val="left" w:pos="9300"/>
        </w:tabs>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fldChar w:fldCharType="begin"/>
      </w:r>
      <w:r>
        <w:rPr>
          <w:rFonts w:hint="eastAsia" w:asciiTheme="minorEastAsia" w:hAnsiTheme="minorEastAsia" w:eastAsiaTheme="minorEastAsia" w:cstheme="minorEastAsia"/>
          <w:bCs/>
          <w:color w:val="auto"/>
          <w:sz w:val="24"/>
          <w:szCs w:val="24"/>
          <w:highlight w:val="none"/>
        </w:rPr>
        <w:instrText xml:space="preserve"> DOCVARIABLE  项目名称  \* MERGEFORMAT </w:instrText>
      </w:r>
      <w:r>
        <w:rPr>
          <w:rFonts w:hint="eastAsia" w:asciiTheme="minorEastAsia" w:hAnsiTheme="minorEastAsia" w:eastAsiaTheme="minorEastAsia" w:cstheme="minorEastAsia"/>
          <w:bCs/>
          <w:color w:val="auto"/>
          <w:sz w:val="24"/>
          <w:szCs w:val="24"/>
          <w:highlight w:val="none"/>
        </w:rPr>
        <w:fldChar w:fldCharType="end"/>
      </w:r>
      <w:r>
        <w:rPr>
          <w:rFonts w:hint="eastAsia" w:asciiTheme="minorEastAsia" w:hAnsiTheme="minorEastAsia" w:eastAsiaTheme="minorEastAsia" w:cstheme="minorEastAsia"/>
          <w:bCs/>
          <w:color w:val="auto"/>
          <w:sz w:val="24"/>
          <w:szCs w:val="24"/>
          <w:highlight w:val="none"/>
        </w:rPr>
        <w:t>交易编号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GDZC-23JJ135</w:t>
      </w:r>
    </w:p>
    <w:p>
      <w:pPr>
        <w:pStyle w:val="46"/>
        <w:tabs>
          <w:tab w:val="left" w:pos="9300"/>
        </w:tabs>
        <w:spacing w:line="360" w:lineRule="auto"/>
        <w:rPr>
          <w:rFonts w:hint="eastAsia" w:asciiTheme="minorEastAsia" w:hAnsiTheme="minorEastAsia" w:eastAsiaTheme="minorEastAsia" w:cstheme="minorEastAsia"/>
          <w:color w:val="auto"/>
          <w:sz w:val="24"/>
          <w:szCs w:val="24"/>
          <w:highlight w:val="none"/>
        </w:rPr>
      </w:pPr>
    </w:p>
    <w:p>
      <w:pPr>
        <w:widowControl/>
        <w:jc w:val="left"/>
        <w:rPr>
          <w:rFonts w:hint="eastAsia" w:asciiTheme="minorEastAsia" w:hAnsiTheme="minorEastAsia" w:eastAsiaTheme="minorEastAsia" w:cstheme="minorEastAsia"/>
          <w:color w:val="auto"/>
          <w:sz w:val="24"/>
          <w:szCs w:val="24"/>
          <w:highlight w:val="none"/>
        </w:rPr>
      </w:pPr>
    </w:p>
    <w:p>
      <w:pPr>
        <w:pStyle w:val="46"/>
        <w:tabs>
          <w:tab w:val="left" w:pos="930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fldChar w:fldCharType="begin"/>
      </w:r>
      <w:r>
        <w:rPr>
          <w:rFonts w:hint="eastAsia" w:asciiTheme="minorEastAsia" w:hAnsiTheme="minorEastAsia" w:eastAsiaTheme="minorEastAsia" w:cstheme="minorEastAsia"/>
          <w:bCs/>
          <w:color w:val="auto"/>
          <w:sz w:val="24"/>
          <w:szCs w:val="24"/>
          <w:highlight w:val="none"/>
        </w:rPr>
        <w:instrText xml:space="preserve"> DOCVARIABLE  采购编号  \* MERGEFORMAT </w:instrText>
      </w:r>
      <w:r>
        <w:rPr>
          <w:rFonts w:hint="eastAsia" w:asciiTheme="minorEastAsia" w:hAnsiTheme="minorEastAsia" w:eastAsiaTheme="minorEastAsia" w:cstheme="minorEastAsia"/>
          <w:bCs/>
          <w:color w:val="auto"/>
          <w:sz w:val="24"/>
          <w:szCs w:val="24"/>
          <w:highlight w:val="none"/>
        </w:rPr>
        <w:fldChar w:fldCharType="end"/>
      </w:r>
    </w:p>
    <w:p>
      <w:pPr>
        <w:pStyle w:val="4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填表要求：</w:t>
      </w:r>
    </w:p>
    <w:p>
      <w:pPr>
        <w:pStyle w:val="48"/>
        <w:numPr>
          <w:ilvl w:val="0"/>
          <w:numId w:val="55"/>
        </w:numPr>
        <w:spacing w:line="360" w:lineRule="auto"/>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eastAsia="zh-CN"/>
        </w:rPr>
        <w:t>格式自拟</w:t>
      </w:r>
      <w:r>
        <w:rPr>
          <w:rFonts w:hint="eastAsia" w:asciiTheme="minorEastAsia" w:hAnsiTheme="minorEastAsia" w:eastAsiaTheme="minorEastAsia" w:cstheme="minorEastAsia"/>
          <w:color w:val="auto"/>
          <w:sz w:val="24"/>
          <w:szCs w:val="24"/>
          <w:highlight w:val="none"/>
        </w:rPr>
        <w:t>。</w:t>
      </w:r>
    </w:p>
    <w:p>
      <w:pPr>
        <w:pStyle w:val="48"/>
        <w:numPr>
          <w:ilvl w:val="0"/>
          <w:numId w:val="55"/>
        </w:numPr>
        <w:spacing w:line="360" w:lineRule="auto"/>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val="en-GB"/>
        </w:rPr>
        <w:t>以上内容必须与技术方案中所介绍的内容、《开标一览表》一致相符。</w:t>
      </w:r>
    </w:p>
    <w:p>
      <w:pPr>
        <w:pStyle w:val="49"/>
        <w:ind w:firstLine="420"/>
        <w:rPr>
          <w:rFonts w:hint="eastAsia" w:asciiTheme="minorEastAsia" w:hAnsiTheme="minorEastAsia" w:eastAsiaTheme="minorEastAsia" w:cstheme="minorEastAsia"/>
          <w:color w:val="auto"/>
          <w:sz w:val="24"/>
          <w:szCs w:val="24"/>
          <w:highlight w:val="none"/>
          <w:lang w:val="en-GB" w:eastAsia="zh-CN"/>
        </w:rPr>
      </w:pPr>
    </w:p>
    <w:p>
      <w:pPr>
        <w:pStyle w:val="49"/>
        <w:rPr>
          <w:rFonts w:hint="eastAsia" w:asciiTheme="minorEastAsia" w:hAnsiTheme="minorEastAsia" w:eastAsiaTheme="minorEastAsia" w:cstheme="minorEastAsia"/>
          <w:color w:val="auto"/>
          <w:sz w:val="24"/>
          <w:szCs w:val="24"/>
          <w:highlight w:val="none"/>
          <w:lang w:val="en-GB"/>
        </w:rPr>
      </w:pPr>
    </w:p>
    <w:p>
      <w:pPr>
        <w:pStyle w:val="49"/>
        <w:rPr>
          <w:rFonts w:hint="eastAsia" w:asciiTheme="minorEastAsia" w:hAnsiTheme="minorEastAsia" w:eastAsiaTheme="minorEastAsia" w:cstheme="minorEastAsia"/>
          <w:color w:val="auto"/>
          <w:sz w:val="24"/>
          <w:szCs w:val="24"/>
          <w:highlight w:val="none"/>
          <w:lang w:val="en-GB"/>
        </w:rPr>
      </w:pPr>
    </w:p>
    <w:p>
      <w:pPr>
        <w:rPr>
          <w:rFonts w:hint="eastAsia" w:asciiTheme="minorEastAsia" w:hAnsiTheme="minorEastAsia" w:eastAsiaTheme="minorEastAsia" w:cstheme="minorEastAsia"/>
          <w:b/>
          <w:bCs/>
          <w:color w:val="auto"/>
          <w:sz w:val="24"/>
          <w:szCs w:val="24"/>
          <w:highlight w:val="none"/>
          <w:lang w:val="en-GB"/>
        </w:rPr>
      </w:pPr>
      <w:r>
        <w:rPr>
          <w:rFonts w:hint="eastAsia" w:asciiTheme="minorEastAsia" w:hAnsiTheme="minorEastAsia" w:eastAsiaTheme="minorEastAsia" w:cstheme="minorEastAsia"/>
          <w:b/>
          <w:bCs/>
          <w:color w:val="auto"/>
          <w:sz w:val="24"/>
          <w:szCs w:val="24"/>
          <w:highlight w:val="none"/>
          <w:lang w:val="en-GB"/>
        </w:rPr>
        <w:t>投标人名称：</w:t>
      </w:r>
      <w:r>
        <w:rPr>
          <w:rFonts w:hint="eastAsia" w:asciiTheme="minorEastAsia" w:hAnsiTheme="minorEastAsia" w:eastAsiaTheme="minorEastAsia" w:cstheme="minorEastAsia"/>
          <w:b/>
          <w:bCs/>
          <w:color w:val="auto"/>
          <w:sz w:val="24"/>
          <w:szCs w:val="24"/>
          <w:highlight w:val="none"/>
          <w:u w:val="single"/>
          <w:lang w:val="en-GB"/>
        </w:rPr>
        <w:t>（全称）</w:t>
      </w:r>
      <w:r>
        <w:rPr>
          <w:rFonts w:hint="eastAsia" w:asciiTheme="minorEastAsia" w:hAnsiTheme="minorEastAsia" w:eastAsiaTheme="minorEastAsia" w:cstheme="minorEastAsia"/>
          <w:b/>
          <w:bCs/>
          <w:color w:val="auto"/>
          <w:sz w:val="24"/>
          <w:szCs w:val="24"/>
          <w:highlight w:val="none"/>
          <w:lang w:val="en-GB"/>
        </w:rPr>
        <w:t>（单位公章）</w:t>
      </w:r>
    </w:p>
    <w:p>
      <w:pPr>
        <w:pStyle w:val="18"/>
        <w:rPr>
          <w:rFonts w:hint="eastAsia" w:asciiTheme="minorEastAsia" w:hAnsiTheme="minorEastAsia" w:eastAsiaTheme="minorEastAsia" w:cstheme="minorEastAsia"/>
          <w:color w:val="auto"/>
          <w:highlight w:val="none"/>
          <w:lang w:val="en-GB"/>
        </w:rPr>
      </w:pPr>
    </w:p>
    <w:p>
      <w:pPr>
        <w:pStyle w:val="43"/>
        <w:spacing w:line="360" w:lineRule="auto"/>
        <w:rPr>
          <w:rFonts w:hint="eastAsia"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日期：年月日</w:t>
      </w:r>
    </w:p>
    <w:p>
      <w:pPr>
        <w:pStyle w:val="44"/>
        <w:outlineLvl w:val="1"/>
        <w:rPr>
          <w:rFonts w:hint="eastAsia" w:asciiTheme="minorEastAsia" w:hAnsiTheme="minorEastAsia" w:eastAsiaTheme="minorEastAsia" w:cstheme="minorEastAsia"/>
          <w:color w:val="auto"/>
          <w:highlight w:val="none"/>
        </w:rPr>
      </w:pPr>
    </w:p>
    <w:p>
      <w:pPr>
        <w:pStyle w:val="18"/>
        <w:rPr>
          <w:rFonts w:hint="eastAsia" w:asciiTheme="minorEastAsia" w:hAnsiTheme="minorEastAsia" w:eastAsiaTheme="minorEastAsia" w:cstheme="minorEastAsia"/>
          <w:color w:val="auto"/>
          <w:highlight w:val="none"/>
          <w:lang w:val="en-GB"/>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6"/>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sectPr>
          <w:headerReference r:id="rId6" w:type="default"/>
          <w:footerReference r:id="rId7" w:type="default"/>
          <w:pgSz w:w="11850" w:h="16783"/>
          <w:pgMar w:top="1134" w:right="1134" w:bottom="1134" w:left="1417" w:header="573" w:footer="584" w:gutter="0"/>
          <w:pgBorders>
            <w:top w:val="none" w:sz="0" w:space="0"/>
            <w:left w:val="none" w:sz="0" w:space="0"/>
            <w:bottom w:val="none" w:sz="0" w:space="0"/>
            <w:right w:val="none" w:sz="0" w:space="0"/>
          </w:pgBorders>
          <w:pgNumType w:fmt="decimal"/>
          <w:cols w:space="0" w:num="1"/>
          <w:rtlGutter w:val="0"/>
          <w:docGrid w:linePitch="312" w:charSpace="0"/>
        </w:sectPr>
      </w:pPr>
    </w:p>
    <w:p>
      <w:pPr>
        <w:spacing w:line="360" w:lineRule="auto"/>
        <w:jc w:val="center"/>
        <w:outlineLvl w:val="2"/>
        <w:rPr>
          <w:rFonts w:hint="eastAsia" w:asciiTheme="minorEastAsia" w:hAnsiTheme="minorEastAsia" w:eastAsiaTheme="minorEastAsia" w:cstheme="minorEastAsia"/>
          <w:b/>
          <w:bCs/>
          <w:color w:val="auto"/>
          <w:sz w:val="44"/>
          <w:szCs w:val="44"/>
          <w:highlight w:val="none"/>
        </w:rPr>
      </w:pPr>
      <w:bookmarkStart w:id="153" w:name="_Toc10492"/>
      <w:r>
        <w:rPr>
          <w:rFonts w:hint="eastAsia" w:asciiTheme="minorEastAsia" w:hAnsiTheme="minorEastAsia" w:eastAsiaTheme="minorEastAsia" w:cstheme="minorEastAsia"/>
          <w:b/>
          <w:bCs/>
          <w:color w:val="auto"/>
          <w:sz w:val="44"/>
          <w:szCs w:val="44"/>
          <w:highlight w:val="none"/>
        </w:rPr>
        <w:t>文件包装袋封面标贴格式</w:t>
      </w:r>
      <w:bookmarkEnd w:id="153"/>
    </w:p>
    <w:tbl>
      <w:tblPr>
        <w:tblStyle w:val="19"/>
        <w:tblW w:w="9329" w:type="dxa"/>
        <w:jc w:val="center"/>
        <w:tblBorders>
          <w:top w:val="dashSmallGap" w:color="003366" w:sz="2" w:space="0"/>
          <w:left w:val="dashSmallGap" w:color="003366" w:sz="2" w:space="0"/>
          <w:bottom w:val="dashSmallGap" w:color="003366" w:sz="2" w:space="0"/>
          <w:right w:val="dashSmallGap" w:color="003366" w:sz="2" w:space="0"/>
          <w:insideH w:val="dashSmallGap" w:color="003366" w:sz="2" w:space="0"/>
          <w:insideV w:val="dashSmallGap" w:color="003366" w:sz="2" w:space="0"/>
        </w:tblBorders>
        <w:tblLayout w:type="fixed"/>
        <w:tblCellMar>
          <w:top w:w="0" w:type="dxa"/>
          <w:left w:w="108" w:type="dxa"/>
          <w:bottom w:w="0" w:type="dxa"/>
          <w:right w:w="108" w:type="dxa"/>
        </w:tblCellMar>
      </w:tblPr>
      <w:tblGrid>
        <w:gridCol w:w="9329"/>
      </w:tblGrid>
      <w:tr>
        <w:tblPrEx>
          <w:tblBorders>
            <w:top w:val="dashSmallGap" w:color="003366" w:sz="2" w:space="0"/>
            <w:left w:val="dashSmallGap" w:color="003366" w:sz="2" w:space="0"/>
            <w:bottom w:val="dashSmallGap" w:color="003366" w:sz="2" w:space="0"/>
            <w:right w:val="dashSmallGap" w:color="003366" w:sz="2" w:space="0"/>
            <w:insideH w:val="dashSmallGap" w:color="003366" w:sz="2" w:space="0"/>
            <w:insideV w:val="dashSmallGap" w:color="003366" w:sz="2" w:space="0"/>
          </w:tblBorders>
          <w:tblCellMar>
            <w:top w:w="0" w:type="dxa"/>
            <w:left w:w="108" w:type="dxa"/>
            <w:bottom w:w="0" w:type="dxa"/>
            <w:right w:w="108" w:type="dxa"/>
          </w:tblCellMar>
        </w:tblPrEx>
        <w:trPr>
          <w:trHeight w:val="9085" w:hRule="atLeast"/>
          <w:jc w:val="center"/>
        </w:trPr>
        <w:tc>
          <w:tcPr>
            <w:tcW w:w="9329" w:type="dxa"/>
            <w:shd w:val="clear" w:color="auto" w:fill="FFFFFF"/>
            <w:noWrap w:val="0"/>
            <w:vAlign w:val="top"/>
          </w:tcPr>
          <w:p>
            <w:pPr>
              <w:rPr>
                <w:rFonts w:hint="eastAsia" w:asciiTheme="minorEastAsia" w:hAnsiTheme="minorEastAsia" w:eastAsiaTheme="minorEastAsia" w:cstheme="minorEastAsia"/>
                <w:color w:val="auto"/>
                <w:sz w:val="18"/>
                <w:szCs w:val="18"/>
                <w:highlight w:val="none"/>
              </w:rPr>
            </w:pPr>
          </w:p>
          <w:p>
            <w:pPr>
              <w:jc w:val="center"/>
              <w:rPr>
                <w:rFonts w:hint="eastAsia" w:asciiTheme="minorEastAsia" w:hAnsiTheme="minorEastAsia" w:eastAsiaTheme="minorEastAsia" w:cstheme="minorEastAsia"/>
                <w:b/>
                <w:color w:val="auto"/>
                <w:sz w:val="48"/>
                <w:szCs w:val="48"/>
                <w:highlight w:val="none"/>
              </w:rPr>
            </w:pPr>
          </w:p>
          <w:p>
            <w:pPr>
              <w:jc w:val="center"/>
              <w:rPr>
                <w:rFonts w:hint="eastAsia" w:asciiTheme="minorEastAsia" w:hAnsiTheme="minorEastAsia" w:eastAsiaTheme="minorEastAsia" w:cstheme="minorEastAsia"/>
                <w:b/>
                <w:bCs/>
                <w:color w:val="auto"/>
                <w:sz w:val="24"/>
                <w:highlight w:val="none"/>
              </w:rPr>
            </w:pPr>
          </w:p>
          <w:p>
            <w:pPr>
              <w:jc w:val="center"/>
              <w:rPr>
                <w:rFonts w:hint="eastAsia" w:asciiTheme="minorEastAsia" w:hAnsiTheme="minorEastAsia" w:eastAsiaTheme="minorEastAsia" w:cstheme="minorEastAsia"/>
                <w:b/>
                <w:bCs/>
                <w:color w:val="auto"/>
                <w:sz w:val="24"/>
                <w:highlight w:val="none"/>
                <w:lang w:val="en-GB"/>
              </w:rPr>
            </w:pPr>
          </w:p>
          <w:p>
            <w:pPr>
              <w:jc w:val="center"/>
              <w:rPr>
                <w:rFonts w:hint="eastAsia" w:asciiTheme="minorEastAsia" w:hAnsiTheme="minorEastAsia" w:eastAsiaTheme="minorEastAsia" w:cstheme="minorEastAsia"/>
                <w:b/>
                <w:bCs/>
                <w:color w:val="auto"/>
                <w:sz w:val="24"/>
                <w:highlight w:val="none"/>
                <w:lang w:val="en-GB"/>
              </w:rPr>
            </w:pPr>
          </w:p>
          <w:p>
            <w:pPr>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72"/>
                <w:szCs w:val="72"/>
                <w:highlight w:val="none"/>
                <w:lang w:eastAsia="zh-CN"/>
              </w:rPr>
              <w:t>报价</w:t>
            </w:r>
            <w:r>
              <w:rPr>
                <w:rFonts w:hint="eastAsia" w:asciiTheme="minorEastAsia" w:hAnsiTheme="minorEastAsia" w:eastAsiaTheme="minorEastAsia" w:cstheme="minorEastAsia"/>
                <w:b/>
                <w:bCs/>
                <w:color w:val="auto"/>
                <w:sz w:val="72"/>
                <w:szCs w:val="72"/>
                <w:highlight w:val="none"/>
              </w:rPr>
              <w:t>文件</w:t>
            </w:r>
          </w:p>
          <w:p>
            <w:pPr>
              <w:jc w:val="center"/>
              <w:rPr>
                <w:rFonts w:hint="eastAsia" w:asciiTheme="minorEastAsia" w:hAnsiTheme="minorEastAsia" w:eastAsiaTheme="minorEastAsia" w:cstheme="minorEastAsia"/>
                <w:b/>
                <w:bCs/>
                <w:color w:val="auto"/>
                <w:sz w:val="24"/>
                <w:highlight w:val="none"/>
                <w:lang w:val="en-GB"/>
              </w:rPr>
            </w:pPr>
          </w:p>
          <w:p>
            <w:pPr>
              <w:spacing w:line="30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lang w:val="en-GB"/>
              </w:rPr>
              <w:t>密封内容：</w:t>
            </w:r>
            <w:r>
              <w:rPr>
                <w:rFonts w:hint="eastAsia" w:asciiTheme="minorEastAsia" w:hAnsiTheme="minorEastAsia" w:eastAsiaTheme="minorEastAsia" w:cstheme="minorEastAsia"/>
                <w:color w:val="auto"/>
                <w:sz w:val="24"/>
                <w:highlight w:val="none"/>
                <w:lang w:eastAsia="zh-CN"/>
              </w:rPr>
              <w:t>报价</w:t>
            </w:r>
            <w:r>
              <w:rPr>
                <w:rFonts w:hint="eastAsia" w:asciiTheme="minorEastAsia" w:hAnsiTheme="minorEastAsia" w:eastAsiaTheme="minorEastAsia" w:cstheme="minorEastAsia"/>
                <w:color w:val="auto"/>
                <w:sz w:val="24"/>
                <w:highlight w:val="none"/>
              </w:rPr>
              <w:t>文件（□正本/□副本/□电子光盘）</w:t>
            </w:r>
          </w:p>
          <w:p>
            <w:pPr>
              <w:spacing w:line="360" w:lineRule="auto"/>
              <w:jc w:val="center"/>
              <w:rPr>
                <w:rFonts w:hint="eastAsia" w:asciiTheme="minorEastAsia" w:hAnsiTheme="minorEastAsia" w:eastAsiaTheme="minorEastAsia" w:cstheme="minorEastAsia"/>
                <w:b/>
                <w:color w:val="auto"/>
                <w:szCs w:val="21"/>
                <w:highlight w:val="none"/>
                <w:lang w:val="en-GB"/>
              </w:rPr>
            </w:pPr>
            <w:r>
              <w:rPr>
                <w:rFonts w:hint="eastAsia" w:asciiTheme="minorEastAsia" w:hAnsiTheme="minorEastAsia" w:eastAsiaTheme="minorEastAsia" w:cstheme="minorEastAsia"/>
                <w:b/>
                <w:color w:val="auto"/>
                <w:szCs w:val="21"/>
                <w:highlight w:val="none"/>
                <w:lang w:eastAsia="zh-CN"/>
              </w:rPr>
              <w:t>投标人</w:t>
            </w:r>
            <w:r>
              <w:rPr>
                <w:rFonts w:hint="eastAsia" w:asciiTheme="minorEastAsia" w:hAnsiTheme="minorEastAsia" w:eastAsiaTheme="minorEastAsia" w:cstheme="minorEastAsia"/>
                <w:b/>
                <w:color w:val="auto"/>
                <w:szCs w:val="21"/>
                <w:highlight w:val="none"/>
                <w:lang w:val="en-GB"/>
              </w:rPr>
              <w:t>于密封前自行对上述资料的密封情况进行自查，并于相应“□”处中打“√”</w:t>
            </w:r>
          </w:p>
          <w:p>
            <w:pPr>
              <w:ind w:firstLine="2474" w:firstLineChars="1027"/>
              <w:rPr>
                <w:rFonts w:hint="eastAsia" w:asciiTheme="minorEastAsia" w:hAnsiTheme="minorEastAsia" w:eastAsiaTheme="minorEastAsia" w:cstheme="minorEastAsia"/>
                <w:b/>
                <w:color w:val="auto"/>
                <w:sz w:val="24"/>
                <w:szCs w:val="36"/>
                <w:highlight w:val="none"/>
                <w:lang w:val="en-GB"/>
              </w:rPr>
            </w:pPr>
          </w:p>
          <w:p>
            <w:pPr>
              <w:spacing w:line="360" w:lineRule="auto"/>
              <w:ind w:right="145" w:rightChars="69"/>
              <w:jc w:val="center"/>
              <w:rPr>
                <w:rFonts w:hint="eastAsia" w:asciiTheme="minorEastAsia" w:hAnsiTheme="minorEastAsia" w:eastAsiaTheme="minorEastAsia" w:cstheme="minorEastAsia"/>
                <w:b/>
                <w:color w:val="auto"/>
                <w:sz w:val="24"/>
                <w:highlight w:val="none"/>
                <w:lang w:val="en-GB" w:eastAsia="zh-CN"/>
              </w:rPr>
            </w:pPr>
            <w:r>
              <w:rPr>
                <w:rFonts w:hint="eastAsia" w:asciiTheme="minorEastAsia" w:hAnsiTheme="minorEastAsia" w:eastAsiaTheme="minorEastAsia" w:cstheme="minorEastAsia"/>
                <w:b/>
                <w:bCs/>
                <w:color w:val="auto"/>
                <w:sz w:val="24"/>
                <w:highlight w:val="none"/>
              </w:rPr>
              <w:t>项目名称</w:t>
            </w:r>
            <w:r>
              <w:rPr>
                <w:rFonts w:hint="eastAsia" w:asciiTheme="minorEastAsia" w:hAnsiTheme="minorEastAsia" w:eastAsiaTheme="minorEastAsia" w:cstheme="minorEastAsia"/>
                <w:b/>
                <w:color w:val="auto"/>
                <w:sz w:val="24"/>
                <w:highlight w:val="none"/>
                <w:lang w:val="en-GB"/>
              </w:rPr>
              <w:t>：</w:t>
            </w:r>
            <w:r>
              <w:rPr>
                <w:rFonts w:hint="eastAsia" w:asciiTheme="minorEastAsia" w:hAnsiTheme="minorEastAsia" w:eastAsiaTheme="minorEastAsia" w:cstheme="minorEastAsia"/>
                <w:b/>
                <w:color w:val="auto"/>
                <w:sz w:val="24"/>
                <w:highlight w:val="none"/>
                <w:lang w:val="en-GB" w:eastAsia="zh-CN"/>
              </w:rPr>
              <w:t>吉利竹甫村车辆停放管理服务</w:t>
            </w:r>
          </w:p>
          <w:p>
            <w:pPr>
              <w:ind w:firstLine="1079" w:firstLineChars="448"/>
              <w:rPr>
                <w:rFonts w:hint="eastAsia" w:asciiTheme="minorEastAsia" w:hAnsiTheme="minorEastAsia" w:eastAsiaTheme="minorEastAsia" w:cstheme="minorEastAsia"/>
                <w:b/>
                <w:bCs/>
                <w:color w:val="auto"/>
                <w:sz w:val="24"/>
                <w:highlight w:val="none"/>
              </w:rPr>
            </w:pPr>
          </w:p>
          <w:p>
            <w:pPr>
              <w:ind w:firstLine="1079" w:firstLineChars="448"/>
              <w:rPr>
                <w:rFonts w:hint="eastAsia" w:asciiTheme="minorEastAsia" w:hAnsiTheme="minorEastAsia" w:eastAsiaTheme="minorEastAsia" w:cstheme="minorEastAsia"/>
                <w:b/>
                <w:bCs/>
                <w:color w:val="auto"/>
                <w:sz w:val="24"/>
                <w:highlight w:val="none"/>
              </w:rPr>
            </w:pPr>
          </w:p>
          <w:p>
            <w:pPr>
              <w:ind w:firstLine="1079" w:firstLineChars="448"/>
              <w:rPr>
                <w:rFonts w:hint="eastAsia" w:asciiTheme="minorEastAsia" w:hAnsiTheme="minorEastAsia" w:eastAsiaTheme="minorEastAsia" w:cstheme="minorEastAsia"/>
                <w:b/>
                <w:bCs/>
                <w:color w:val="auto"/>
                <w:sz w:val="24"/>
                <w:highlight w:val="none"/>
              </w:rPr>
            </w:pPr>
          </w:p>
          <w:p>
            <w:pPr>
              <w:pStyle w:val="43"/>
              <w:spacing w:line="480" w:lineRule="auto"/>
              <w:rPr>
                <w:rFonts w:hint="eastAsia" w:asciiTheme="minorEastAsia" w:hAnsiTheme="minorEastAsia" w:eastAsiaTheme="minorEastAsia" w:cstheme="minorEastAsia"/>
                <w:b/>
                <w:color w:val="auto"/>
                <w:highlight w:val="none"/>
                <w:lang w:val="en-GB" w:eastAsia="zh-CN"/>
              </w:rPr>
            </w:pPr>
            <w:r>
              <w:rPr>
                <w:rFonts w:hint="eastAsia" w:asciiTheme="minorEastAsia" w:hAnsiTheme="minorEastAsia" w:eastAsiaTheme="minorEastAsia" w:cstheme="minorEastAsia"/>
                <w:b/>
                <w:color w:val="auto"/>
                <w:highlight w:val="none"/>
                <w:lang w:val="en-GB" w:eastAsia="zh-CN"/>
              </w:rPr>
              <w:t>投标人名称：</w:t>
            </w:r>
            <w:r>
              <w:rPr>
                <w:rFonts w:hint="eastAsia" w:asciiTheme="minorEastAsia" w:hAnsiTheme="minorEastAsia" w:eastAsiaTheme="minorEastAsia" w:cstheme="minorEastAsia"/>
                <w:b/>
                <w:color w:val="auto"/>
                <w:highlight w:val="none"/>
                <w:u w:val="single"/>
                <w:lang w:val="en-GB" w:eastAsia="zh-CN"/>
              </w:rPr>
              <w:t>（全称）</w:t>
            </w:r>
            <w:r>
              <w:rPr>
                <w:rFonts w:hint="eastAsia" w:asciiTheme="minorEastAsia" w:hAnsiTheme="minorEastAsia" w:eastAsiaTheme="minorEastAsia" w:cstheme="minorEastAsia"/>
                <w:b/>
                <w:color w:val="auto"/>
                <w:highlight w:val="none"/>
                <w:lang w:val="en-GB" w:eastAsia="zh-CN"/>
              </w:rPr>
              <w:t>（单位公章）</w:t>
            </w:r>
          </w:p>
          <w:p>
            <w:pPr>
              <w:pStyle w:val="43"/>
              <w:spacing w:line="360" w:lineRule="auto"/>
              <w:rPr>
                <w:rFonts w:hint="eastAsia"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日期：年月日</w:t>
            </w:r>
          </w:p>
          <w:p>
            <w:pPr>
              <w:pStyle w:val="44"/>
              <w:outlineLvl w:val="1"/>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Cs/>
                <w:color w:val="auto"/>
                <w:sz w:val="28"/>
                <w:szCs w:val="28"/>
                <w:highlight w:val="none"/>
              </w:rPr>
            </w:pPr>
          </w:p>
          <w:p>
            <w:pPr>
              <w:spacing w:after="120" w:afterLines="50"/>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在</w:t>
            </w:r>
            <w:r>
              <w:rPr>
                <w:rFonts w:hint="eastAsia" w:asciiTheme="minorEastAsia" w:hAnsiTheme="minorEastAsia" w:eastAsiaTheme="minorEastAsia" w:cstheme="minorEastAsia"/>
                <w:bCs/>
                <w:color w:val="auto"/>
                <w:sz w:val="28"/>
                <w:szCs w:val="28"/>
                <w:highlight w:val="none"/>
                <w:lang w:eastAsia="zh-CN"/>
              </w:rPr>
              <w:t>2024</w:t>
            </w:r>
            <w:r>
              <w:rPr>
                <w:rFonts w:hint="eastAsia" w:asciiTheme="minorEastAsia" w:hAnsiTheme="minorEastAsia" w:eastAsiaTheme="minorEastAsia" w:cstheme="minorEastAsia"/>
                <w:bCs/>
                <w:color w:val="auto"/>
                <w:sz w:val="28"/>
                <w:szCs w:val="28"/>
                <w:highlight w:val="none"/>
              </w:rPr>
              <w:t>年</w:t>
            </w:r>
            <w:r>
              <w:rPr>
                <w:rFonts w:hint="eastAsia" w:asciiTheme="minorEastAsia" w:hAnsiTheme="minorEastAsia" w:eastAsiaTheme="minorEastAsia" w:cstheme="minorEastAsia"/>
                <w:bCs/>
                <w:color w:val="auto"/>
                <w:sz w:val="28"/>
                <w:szCs w:val="28"/>
                <w:highlight w:val="none"/>
                <w:lang w:val="en-US" w:eastAsia="zh-CN"/>
              </w:rPr>
              <w:t>2</w:t>
            </w:r>
            <w:r>
              <w:rPr>
                <w:rFonts w:hint="eastAsia" w:asciiTheme="minorEastAsia" w:hAnsiTheme="minorEastAsia" w:eastAsiaTheme="minorEastAsia" w:cstheme="minorEastAsia"/>
                <w:bCs/>
                <w:color w:val="auto"/>
                <w:sz w:val="28"/>
                <w:szCs w:val="28"/>
                <w:highlight w:val="none"/>
              </w:rPr>
              <w:t>月</w:t>
            </w:r>
            <w:r>
              <w:rPr>
                <w:rFonts w:hint="eastAsia" w:asciiTheme="minorEastAsia" w:hAnsiTheme="minorEastAsia" w:eastAsiaTheme="minorEastAsia" w:cstheme="minorEastAsia"/>
                <w:bCs/>
                <w:color w:val="auto"/>
                <w:sz w:val="28"/>
                <w:szCs w:val="28"/>
                <w:highlight w:val="none"/>
                <w:lang w:val="en-US" w:eastAsia="zh-CN"/>
              </w:rPr>
              <w:t>8</w:t>
            </w:r>
            <w:r>
              <w:rPr>
                <w:rFonts w:hint="eastAsia" w:asciiTheme="minorEastAsia" w:hAnsiTheme="minorEastAsia" w:eastAsiaTheme="minorEastAsia" w:cstheme="minorEastAsia"/>
                <w:bCs/>
                <w:color w:val="auto"/>
                <w:sz w:val="28"/>
                <w:szCs w:val="28"/>
                <w:highlight w:val="none"/>
              </w:rPr>
              <w:t>日</w:t>
            </w:r>
            <w:r>
              <w:rPr>
                <w:rFonts w:hint="eastAsia" w:asciiTheme="minorEastAsia" w:hAnsiTheme="minorEastAsia" w:eastAsiaTheme="minorEastAsia" w:cstheme="minorEastAsia"/>
                <w:bCs/>
                <w:color w:val="auto"/>
                <w:sz w:val="28"/>
                <w:szCs w:val="28"/>
                <w:highlight w:val="none"/>
                <w:lang w:eastAsia="zh-CN"/>
              </w:rPr>
              <w:t>上</w:t>
            </w:r>
            <w:r>
              <w:rPr>
                <w:rFonts w:hint="eastAsia" w:asciiTheme="minorEastAsia" w:hAnsiTheme="minorEastAsia" w:eastAsiaTheme="minorEastAsia" w:cstheme="minorEastAsia"/>
                <w:bCs/>
                <w:color w:val="auto"/>
                <w:sz w:val="28"/>
                <w:szCs w:val="28"/>
                <w:highlight w:val="none"/>
              </w:rPr>
              <w:t>午</w:t>
            </w:r>
            <w:r>
              <w:rPr>
                <w:rFonts w:hint="eastAsia" w:asciiTheme="minorEastAsia" w:hAnsiTheme="minorEastAsia" w:eastAsiaTheme="minorEastAsia" w:cstheme="minorEastAsia"/>
                <w:bCs/>
                <w:color w:val="auto"/>
                <w:sz w:val="28"/>
                <w:szCs w:val="28"/>
                <w:highlight w:val="none"/>
                <w:lang w:val="en-US" w:eastAsia="zh-CN"/>
              </w:rPr>
              <w:t>9</w:t>
            </w: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color w:val="auto"/>
                <w:sz w:val="28"/>
                <w:szCs w:val="28"/>
                <w:highlight w:val="none"/>
                <w:lang w:val="en-US" w:eastAsia="zh-CN"/>
              </w:rPr>
              <w:t>00</w:t>
            </w:r>
            <w:r>
              <w:rPr>
                <w:rFonts w:hint="eastAsia" w:asciiTheme="minorEastAsia" w:hAnsiTheme="minorEastAsia" w:eastAsiaTheme="minorEastAsia" w:cstheme="minorEastAsia"/>
                <w:bCs/>
                <w:color w:val="auto"/>
                <w:sz w:val="28"/>
                <w:szCs w:val="28"/>
                <w:highlight w:val="none"/>
              </w:rPr>
              <w:t>之前不得启封</w:t>
            </w:r>
          </w:p>
          <w:p>
            <w:pPr>
              <w:ind w:firstLine="2800" w:firstLineChars="1000"/>
              <w:rPr>
                <w:rFonts w:hint="eastAsia" w:asciiTheme="minorEastAsia" w:hAnsiTheme="minorEastAsia" w:eastAsiaTheme="minorEastAsia" w:cstheme="minorEastAsia"/>
                <w:bCs/>
                <w:color w:val="auto"/>
                <w:sz w:val="28"/>
                <w:szCs w:val="28"/>
                <w:highlight w:val="none"/>
              </w:rPr>
            </w:pPr>
          </w:p>
          <w:p>
            <w:pPr>
              <w:ind w:firstLine="1400" w:firstLineChars="5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bCs/>
                <w:color w:val="auto"/>
                <w:sz w:val="28"/>
                <w:szCs w:val="28"/>
                <w:highlight w:val="none"/>
              </w:rPr>
              <w:t>递交地点：佛山市禅城区南庄镇紫洞南路106号南庄商业广场A1座四楼南庄镇公共资源交易所开标室</w:t>
            </w:r>
          </w:p>
        </w:tc>
      </w:tr>
    </w:tbl>
    <w:p>
      <w:pPr>
        <w:numPr>
          <w:ilvl w:val="0"/>
          <w:numId w:val="52"/>
        </w:numPr>
        <w:spacing w:before="120" w:beforeLines="50" w:line="360" w:lineRule="auto"/>
        <w:ind w:left="601"/>
        <w:rPr>
          <w:rFonts w:ascii="宋体"/>
          <w:b/>
          <w:bCs/>
          <w:color w:val="auto"/>
          <w:sz w:val="24"/>
          <w:highlight w:val="none"/>
          <w:lang w:val="en-GB"/>
        </w:rPr>
      </w:pPr>
      <w:r>
        <w:rPr>
          <w:rFonts w:hint="eastAsia" w:ascii="宋体" w:hAnsi="宋体"/>
          <w:b/>
          <w:bCs/>
          <w:color w:val="auto"/>
          <w:sz w:val="24"/>
          <w:highlight w:val="none"/>
          <w:lang w:val="en-GB"/>
        </w:rPr>
        <w:t>重要提示：</w:t>
      </w:r>
    </w:p>
    <w:p>
      <w:pPr>
        <w:numPr>
          <w:ilvl w:val="0"/>
          <w:numId w:val="56"/>
        </w:numPr>
        <w:tabs>
          <w:tab w:val="left" w:pos="900"/>
          <w:tab w:val="clear" w:pos="780"/>
        </w:tabs>
        <w:spacing w:line="300" w:lineRule="auto"/>
        <w:ind w:left="538" w:leftChars="256"/>
        <w:rPr>
          <w:color w:val="auto"/>
          <w:sz w:val="24"/>
          <w:highlight w:val="none"/>
          <w:lang w:val="en-GB"/>
        </w:rPr>
      </w:pPr>
      <w:r>
        <w:rPr>
          <w:rFonts w:hint="eastAsia" w:ascii="宋体" w:hAnsi="宋体"/>
          <w:color w:val="auto"/>
          <w:sz w:val="24"/>
          <w:highlight w:val="none"/>
          <w:lang w:val="en-GB" w:eastAsia="zh-CN"/>
        </w:rPr>
        <w:t>报价</w:t>
      </w:r>
      <w:r>
        <w:rPr>
          <w:rFonts w:hint="eastAsia" w:ascii="宋体" w:hAnsi="宋体"/>
          <w:color w:val="auto"/>
          <w:sz w:val="24"/>
          <w:highlight w:val="none"/>
          <w:lang w:val="en-GB"/>
        </w:rPr>
        <w:t>文件的正本、副本、电子光盘，均应密封在同一密封包中。若上述资料确实无法密封在同一密封包中，则可按实际情况分开密封，但须在密封包装上标明密封内容。</w:t>
      </w:r>
    </w:p>
    <w:p>
      <w:pPr>
        <w:numPr>
          <w:ilvl w:val="0"/>
          <w:numId w:val="56"/>
        </w:numPr>
        <w:tabs>
          <w:tab w:val="left" w:pos="900"/>
          <w:tab w:val="clear" w:pos="780"/>
        </w:tabs>
        <w:spacing w:line="300" w:lineRule="auto"/>
        <w:ind w:left="538" w:leftChars="256"/>
        <w:rPr>
          <w:color w:val="auto"/>
          <w:sz w:val="24"/>
          <w:highlight w:val="none"/>
          <w:lang w:val="en-GB"/>
        </w:rPr>
      </w:pPr>
      <w:r>
        <w:rPr>
          <w:rFonts w:hint="eastAsia" w:ascii="宋体" w:hAnsi="宋体"/>
          <w:color w:val="auto"/>
          <w:sz w:val="24"/>
          <w:highlight w:val="none"/>
          <w:lang w:val="en-GB"/>
        </w:rPr>
        <w:t>密封各文件资料时，应</w:t>
      </w:r>
      <w:r>
        <w:rPr>
          <w:rFonts w:hint="eastAsia" w:ascii="宋体" w:hAnsi="宋体"/>
          <w:color w:val="auto"/>
          <w:sz w:val="24"/>
          <w:highlight w:val="none"/>
          <w:u w:val="single"/>
          <w:lang w:val="en-GB"/>
        </w:rPr>
        <w:t>在密封包装的封口</w:t>
      </w:r>
      <w:r>
        <w:rPr>
          <w:rFonts w:hint="eastAsia" w:ascii="宋体" w:hAnsi="宋体"/>
          <w:color w:val="auto"/>
          <w:sz w:val="24"/>
          <w:highlight w:val="none"/>
          <w:lang w:val="en-GB"/>
        </w:rPr>
        <w:t>处加盖</w:t>
      </w:r>
      <w:r>
        <w:rPr>
          <w:rFonts w:hint="eastAsia" w:ascii="宋体" w:hAnsi="宋体"/>
          <w:color w:val="auto"/>
          <w:sz w:val="24"/>
          <w:highlight w:val="none"/>
          <w:lang w:val="en-GB" w:eastAsia="zh-CN"/>
        </w:rPr>
        <w:t>投标人</w:t>
      </w:r>
      <w:r>
        <w:rPr>
          <w:rFonts w:hint="eastAsia" w:ascii="宋体" w:hAnsi="宋体"/>
          <w:color w:val="auto"/>
          <w:sz w:val="24"/>
          <w:highlight w:val="none"/>
          <w:lang w:val="en-GB"/>
        </w:rPr>
        <w:t>公章。</w:t>
      </w:r>
    </w:p>
    <w:p>
      <w:pPr>
        <w:numPr>
          <w:ilvl w:val="0"/>
          <w:numId w:val="56"/>
        </w:numPr>
        <w:tabs>
          <w:tab w:val="left" w:pos="900"/>
          <w:tab w:val="clear" w:pos="780"/>
        </w:tabs>
        <w:spacing w:line="300" w:lineRule="auto"/>
        <w:ind w:left="538" w:leftChars="256"/>
        <w:rPr>
          <w:rFonts w:hint="eastAsia" w:ascii="宋体" w:hAnsi="宋体"/>
          <w:color w:val="auto"/>
          <w:sz w:val="24"/>
          <w:highlight w:val="none"/>
          <w:lang w:val="en-GB" w:eastAsia="zh-CN"/>
        </w:rPr>
      </w:pPr>
      <w:r>
        <w:rPr>
          <w:rFonts w:hint="eastAsia" w:ascii="宋体" w:hAnsi="宋体"/>
          <w:color w:val="auto"/>
          <w:sz w:val="24"/>
          <w:highlight w:val="none"/>
          <w:lang w:val="en-GB" w:eastAsia="zh-CN"/>
        </w:rPr>
        <w:t>因交通或有不便，递交竞投文件时务请提早到达</w:t>
      </w:r>
    </w:p>
    <w:p>
      <w:pPr>
        <w:rPr>
          <w:color w:val="auto"/>
          <w:highlight w:val="none"/>
        </w:rPr>
      </w:pPr>
    </w:p>
    <w:bookmarkEnd w:id="154"/>
    <w:sectPr>
      <w:pgSz w:w="11850" w:h="16783"/>
      <w:pgMar w:top="1134" w:right="1134" w:bottom="1134" w:left="1417" w:header="573" w:footer="58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8640"/>
        <w:tab w:val="clear" w:pos="8306"/>
      </w:tabs>
      <w:ind w:right="-176" w:rightChars="-84"/>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宋体"/>
        <w:spacing w:val="-18"/>
        <w:w w:val="90"/>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222B1"/>
    <w:multiLevelType w:val="singleLevel"/>
    <w:tmpl w:val="86F222B1"/>
    <w:lvl w:ilvl="0" w:tentative="0">
      <w:start w:val="1"/>
      <w:numFmt w:val="decimal"/>
      <w:lvlText w:val="%1."/>
      <w:lvlJc w:val="left"/>
      <w:pPr>
        <w:ind w:left="425" w:hanging="425"/>
      </w:pPr>
      <w:rPr>
        <w:rFonts w:hint="default"/>
      </w:rPr>
    </w:lvl>
  </w:abstractNum>
  <w:abstractNum w:abstractNumId="1">
    <w:nsid w:val="898CF67A"/>
    <w:multiLevelType w:val="singleLevel"/>
    <w:tmpl w:val="898CF67A"/>
    <w:lvl w:ilvl="0" w:tentative="0">
      <w:start w:val="1"/>
      <w:numFmt w:val="chineseCounting"/>
      <w:suff w:val="nothing"/>
      <w:lvlText w:val="（%1）"/>
      <w:lvlJc w:val="left"/>
      <w:pPr>
        <w:ind w:left="0" w:firstLine="420"/>
      </w:pPr>
      <w:rPr>
        <w:rFonts w:hint="eastAsia"/>
      </w:rPr>
    </w:lvl>
  </w:abstractNum>
  <w:abstractNum w:abstractNumId="2">
    <w:nsid w:val="8EDE5DE2"/>
    <w:multiLevelType w:val="multilevel"/>
    <w:tmpl w:val="8EDE5DE2"/>
    <w:lvl w:ilvl="0" w:tentative="0">
      <w:start w:val="1"/>
      <w:numFmt w:val="decimal"/>
      <w:suff w:val="space"/>
      <w:lvlText w:val="%1."/>
      <w:lvlJc w:val="left"/>
      <w:pPr>
        <w:ind w:left="420" w:hanging="420"/>
      </w:pPr>
      <w:rPr>
        <w:rFonts w:hint="default" w:ascii="宋体" w:hAnsi="宋体" w:eastAsia="宋体" w:cstheme="minorEastAsia"/>
        <w:b/>
      </w:rPr>
    </w:lvl>
    <w:lvl w:ilvl="1" w:tentative="0">
      <w:start w:val="1"/>
      <w:numFmt w:val="decimal"/>
      <w:lvlText w:val="25.%2."/>
      <w:lvlJc w:val="left"/>
      <w:pPr>
        <w:tabs>
          <w:tab w:val="left" w:pos="840"/>
        </w:tabs>
        <w:ind w:left="840" w:hanging="420"/>
      </w:pPr>
      <w:rPr>
        <w:rFonts w:hint="default" w:ascii="Times New Roman" w:hAnsi="Times New Roman" w:cs="Times New Roman"/>
        <w:b w:val="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8F9F341B"/>
    <w:multiLevelType w:val="singleLevel"/>
    <w:tmpl w:val="8F9F341B"/>
    <w:lvl w:ilvl="0" w:tentative="0">
      <w:start w:val="1"/>
      <w:numFmt w:val="chineseCounting"/>
      <w:suff w:val="nothing"/>
      <w:lvlText w:val="%1、"/>
      <w:lvlJc w:val="left"/>
      <w:pPr>
        <w:ind w:left="0" w:firstLine="420"/>
      </w:pPr>
      <w:rPr>
        <w:rFonts w:hint="eastAsia"/>
      </w:rPr>
    </w:lvl>
  </w:abstractNum>
  <w:abstractNum w:abstractNumId="4">
    <w:nsid w:val="9027ED67"/>
    <w:multiLevelType w:val="singleLevel"/>
    <w:tmpl w:val="9027ED67"/>
    <w:lvl w:ilvl="0" w:tentative="0">
      <w:start w:val="1"/>
      <w:numFmt w:val="chineseCounting"/>
      <w:suff w:val="nothing"/>
      <w:lvlText w:val="（%1）"/>
      <w:lvlJc w:val="left"/>
      <w:pPr>
        <w:ind w:left="0" w:firstLine="420"/>
      </w:pPr>
      <w:rPr>
        <w:rFonts w:hint="eastAsia"/>
      </w:rPr>
    </w:lvl>
  </w:abstractNum>
  <w:abstractNum w:abstractNumId="5">
    <w:nsid w:val="94A90165"/>
    <w:multiLevelType w:val="multilevel"/>
    <w:tmpl w:val="94A90165"/>
    <w:lvl w:ilvl="0" w:tentative="0">
      <w:start w:val="1"/>
      <w:numFmt w:val="decimal"/>
      <w:suff w:val="space"/>
      <w:lvlText w:val="%1."/>
      <w:lvlJc w:val="left"/>
      <w:pPr>
        <w:ind w:left="624" w:hanging="624"/>
      </w:pPr>
      <w:rPr>
        <w:rFonts w:hint="default" w:ascii="宋体" w:hAnsi="宋体" w:eastAsia="宋体" w:cs="宋体"/>
        <w:b/>
        <w:i w:val="0"/>
      </w:rPr>
    </w:lvl>
    <w:lvl w:ilvl="1" w:tentative="0">
      <w:start w:val="1"/>
      <w:numFmt w:val="decimal"/>
      <w:suff w:val="space"/>
      <w:lvlText w:val="%1.%2"/>
      <w:lvlJc w:val="left"/>
      <w:pPr>
        <w:ind w:left="624" w:hanging="624"/>
      </w:pPr>
      <w:rPr>
        <w:rFonts w:hint="default" w:ascii="宋体" w:hAnsi="宋体" w:eastAsia="宋体" w:cs="宋体"/>
        <w:b w:val="0"/>
        <w:i w:val="0"/>
        <w:color w:val="auto"/>
        <w:sz w:val="24"/>
        <w:szCs w:val="24"/>
      </w:rPr>
    </w:lvl>
    <w:lvl w:ilvl="2" w:tentative="0">
      <w:start w:val="1"/>
      <w:numFmt w:val="decimal"/>
      <w:suff w:val="space"/>
      <w:lvlText w:val="%1.%2.%3."/>
      <w:lvlJc w:val="left"/>
      <w:pPr>
        <w:ind w:left="709" w:hanging="709"/>
      </w:pPr>
      <w:rPr>
        <w:rFonts w:hint="default" w:ascii="宋体" w:hAnsi="宋体" w:eastAsia="宋体" w:cs="宋体"/>
      </w:rPr>
    </w:lvl>
    <w:lvl w:ilvl="3" w:tentative="0">
      <w:start w:val="1"/>
      <w:numFmt w:val="decimal"/>
      <w:suff w:val="space"/>
      <w:lvlText w:val="%1.%2.%3.%4."/>
      <w:lvlJc w:val="left"/>
      <w:pPr>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96C4E0D9"/>
    <w:multiLevelType w:val="singleLevel"/>
    <w:tmpl w:val="96C4E0D9"/>
    <w:lvl w:ilvl="0" w:tentative="0">
      <w:start w:val="1"/>
      <w:numFmt w:val="decimal"/>
      <w:lvlText w:val="%1."/>
      <w:lvlJc w:val="left"/>
      <w:pPr>
        <w:ind w:left="425" w:hanging="425"/>
      </w:pPr>
      <w:rPr>
        <w:rFonts w:hint="default"/>
      </w:rPr>
    </w:lvl>
  </w:abstractNum>
  <w:abstractNum w:abstractNumId="7">
    <w:nsid w:val="A48A9E99"/>
    <w:multiLevelType w:val="singleLevel"/>
    <w:tmpl w:val="A48A9E99"/>
    <w:lvl w:ilvl="0" w:tentative="0">
      <w:start w:val="1"/>
      <w:numFmt w:val="chineseCounting"/>
      <w:suff w:val="nothing"/>
      <w:lvlText w:val="（%1）"/>
      <w:lvlJc w:val="left"/>
      <w:pPr>
        <w:ind w:left="0" w:firstLine="420"/>
      </w:pPr>
      <w:rPr>
        <w:rFonts w:hint="eastAsia"/>
      </w:rPr>
    </w:lvl>
  </w:abstractNum>
  <w:abstractNum w:abstractNumId="8">
    <w:nsid w:val="A86C22B1"/>
    <w:multiLevelType w:val="singleLevel"/>
    <w:tmpl w:val="A86C22B1"/>
    <w:lvl w:ilvl="0" w:tentative="0">
      <w:start w:val="1"/>
      <w:numFmt w:val="decimal"/>
      <w:lvlText w:val="(%1)"/>
      <w:lvlJc w:val="left"/>
      <w:pPr>
        <w:ind w:left="425" w:hanging="425"/>
      </w:pPr>
      <w:rPr>
        <w:rFonts w:hint="default"/>
      </w:rPr>
    </w:lvl>
  </w:abstractNum>
  <w:abstractNum w:abstractNumId="9">
    <w:nsid w:val="C070D1B6"/>
    <w:multiLevelType w:val="singleLevel"/>
    <w:tmpl w:val="C070D1B6"/>
    <w:lvl w:ilvl="0" w:tentative="0">
      <w:start w:val="1"/>
      <w:numFmt w:val="chineseCounting"/>
      <w:suff w:val="nothing"/>
      <w:lvlText w:val="（%1）"/>
      <w:lvlJc w:val="left"/>
      <w:pPr>
        <w:ind w:left="0" w:firstLine="420"/>
      </w:pPr>
      <w:rPr>
        <w:rFonts w:hint="eastAsia"/>
      </w:rPr>
    </w:lvl>
  </w:abstractNum>
  <w:abstractNum w:abstractNumId="10">
    <w:nsid w:val="C6D8EF7A"/>
    <w:multiLevelType w:val="singleLevel"/>
    <w:tmpl w:val="C6D8EF7A"/>
    <w:lvl w:ilvl="0" w:tentative="0">
      <w:start w:val="1"/>
      <w:numFmt w:val="decimal"/>
      <w:lvlText w:val="%1."/>
      <w:lvlJc w:val="left"/>
      <w:pPr>
        <w:ind w:left="425" w:hanging="425"/>
      </w:pPr>
      <w:rPr>
        <w:rFonts w:hint="default"/>
      </w:rPr>
    </w:lvl>
  </w:abstractNum>
  <w:abstractNum w:abstractNumId="11">
    <w:nsid w:val="C806676E"/>
    <w:multiLevelType w:val="singleLevel"/>
    <w:tmpl w:val="C806676E"/>
    <w:lvl w:ilvl="0" w:tentative="0">
      <w:start w:val="1"/>
      <w:numFmt w:val="decimal"/>
      <w:lvlText w:val="%1."/>
      <w:lvlJc w:val="left"/>
      <w:pPr>
        <w:ind w:left="425" w:hanging="425"/>
      </w:pPr>
      <w:rPr>
        <w:rFonts w:hint="default"/>
      </w:rPr>
    </w:lvl>
  </w:abstractNum>
  <w:abstractNum w:abstractNumId="12">
    <w:nsid w:val="D835A01B"/>
    <w:multiLevelType w:val="multilevel"/>
    <w:tmpl w:val="D835A01B"/>
    <w:lvl w:ilvl="0" w:tentative="0">
      <w:start w:val="1"/>
      <w:numFmt w:val="decimal"/>
      <w:lvlText w:val="（%1）"/>
      <w:lvlJc w:val="left"/>
      <w:pPr>
        <w:tabs>
          <w:tab w:val="left" w:pos="652"/>
        </w:tabs>
        <w:ind w:left="1106" w:hanging="680"/>
      </w:pPr>
      <w:rPr>
        <w:rFonts w:hint="eastAsia"/>
      </w:rPr>
    </w:lvl>
    <w:lvl w:ilvl="1" w:tentative="0">
      <w:start w:val="1"/>
      <w:numFmt w:val="lowerLetter"/>
      <w:lvlText w:val="%2)"/>
      <w:lvlJc w:val="left"/>
      <w:pPr>
        <w:tabs>
          <w:tab w:val="left" w:pos="415"/>
        </w:tabs>
        <w:ind w:left="415" w:hanging="420"/>
      </w:pPr>
    </w:lvl>
    <w:lvl w:ilvl="2" w:tentative="0">
      <w:start w:val="1"/>
      <w:numFmt w:val="lowerRoman"/>
      <w:lvlText w:val="%3."/>
      <w:lvlJc w:val="right"/>
      <w:pPr>
        <w:tabs>
          <w:tab w:val="left" w:pos="835"/>
        </w:tabs>
        <w:ind w:left="835" w:hanging="420"/>
      </w:pPr>
    </w:lvl>
    <w:lvl w:ilvl="3" w:tentative="0">
      <w:start w:val="1"/>
      <w:numFmt w:val="decimal"/>
      <w:lvlText w:val="%4."/>
      <w:lvlJc w:val="left"/>
      <w:pPr>
        <w:tabs>
          <w:tab w:val="left" w:pos="1255"/>
        </w:tabs>
        <w:ind w:left="1255" w:hanging="420"/>
      </w:pPr>
    </w:lvl>
    <w:lvl w:ilvl="4" w:tentative="0">
      <w:start w:val="1"/>
      <w:numFmt w:val="lowerLetter"/>
      <w:lvlText w:val="%5)"/>
      <w:lvlJc w:val="left"/>
      <w:pPr>
        <w:tabs>
          <w:tab w:val="left" w:pos="1675"/>
        </w:tabs>
        <w:ind w:left="1675" w:hanging="420"/>
      </w:pPr>
    </w:lvl>
    <w:lvl w:ilvl="5" w:tentative="0">
      <w:start w:val="1"/>
      <w:numFmt w:val="lowerRoman"/>
      <w:lvlText w:val="%6."/>
      <w:lvlJc w:val="right"/>
      <w:pPr>
        <w:tabs>
          <w:tab w:val="left" w:pos="2095"/>
        </w:tabs>
        <w:ind w:left="2095" w:hanging="420"/>
      </w:pPr>
    </w:lvl>
    <w:lvl w:ilvl="6" w:tentative="0">
      <w:start w:val="1"/>
      <w:numFmt w:val="decimal"/>
      <w:lvlText w:val="%7."/>
      <w:lvlJc w:val="left"/>
      <w:pPr>
        <w:tabs>
          <w:tab w:val="left" w:pos="2515"/>
        </w:tabs>
        <w:ind w:left="2515" w:hanging="420"/>
      </w:pPr>
    </w:lvl>
    <w:lvl w:ilvl="7" w:tentative="0">
      <w:start w:val="1"/>
      <w:numFmt w:val="lowerLetter"/>
      <w:lvlText w:val="%8)"/>
      <w:lvlJc w:val="left"/>
      <w:pPr>
        <w:tabs>
          <w:tab w:val="left" w:pos="2935"/>
        </w:tabs>
        <w:ind w:left="2935" w:hanging="420"/>
      </w:pPr>
    </w:lvl>
    <w:lvl w:ilvl="8" w:tentative="0">
      <w:start w:val="1"/>
      <w:numFmt w:val="lowerRoman"/>
      <w:lvlText w:val="%9."/>
      <w:lvlJc w:val="right"/>
      <w:pPr>
        <w:tabs>
          <w:tab w:val="left" w:pos="3355"/>
        </w:tabs>
        <w:ind w:left="3355" w:hanging="420"/>
      </w:pPr>
    </w:lvl>
  </w:abstractNum>
  <w:abstractNum w:abstractNumId="13">
    <w:nsid w:val="DDAAD069"/>
    <w:multiLevelType w:val="singleLevel"/>
    <w:tmpl w:val="DDAAD069"/>
    <w:lvl w:ilvl="0" w:tentative="0">
      <w:start w:val="1"/>
      <w:numFmt w:val="chineseCounting"/>
      <w:suff w:val="nothing"/>
      <w:lvlText w:val="（%1）"/>
      <w:lvlJc w:val="left"/>
      <w:pPr>
        <w:ind w:left="0" w:firstLine="420"/>
      </w:pPr>
      <w:rPr>
        <w:rFonts w:hint="eastAsia"/>
      </w:rPr>
    </w:lvl>
  </w:abstractNum>
  <w:abstractNum w:abstractNumId="14">
    <w:nsid w:val="E2730C15"/>
    <w:multiLevelType w:val="singleLevel"/>
    <w:tmpl w:val="E2730C15"/>
    <w:lvl w:ilvl="0" w:tentative="0">
      <w:start w:val="1"/>
      <w:numFmt w:val="decimal"/>
      <w:lvlText w:val="%1."/>
      <w:lvlJc w:val="left"/>
      <w:pPr>
        <w:ind w:left="425" w:hanging="425"/>
      </w:pPr>
      <w:rPr>
        <w:rFonts w:hint="default"/>
      </w:rPr>
    </w:lvl>
  </w:abstractNum>
  <w:abstractNum w:abstractNumId="15">
    <w:nsid w:val="E273CBF1"/>
    <w:multiLevelType w:val="singleLevel"/>
    <w:tmpl w:val="E273CBF1"/>
    <w:lvl w:ilvl="0" w:tentative="0">
      <w:start w:val="1"/>
      <w:numFmt w:val="decimal"/>
      <w:lvlText w:val="%1."/>
      <w:lvlJc w:val="left"/>
      <w:pPr>
        <w:ind w:left="425" w:hanging="425"/>
      </w:pPr>
      <w:rPr>
        <w:rFonts w:hint="default"/>
      </w:rPr>
    </w:lvl>
  </w:abstractNum>
  <w:abstractNum w:abstractNumId="16">
    <w:nsid w:val="EF208E0F"/>
    <w:multiLevelType w:val="singleLevel"/>
    <w:tmpl w:val="EF208E0F"/>
    <w:lvl w:ilvl="0" w:tentative="0">
      <w:start w:val="1"/>
      <w:numFmt w:val="decimal"/>
      <w:lvlText w:val="%1."/>
      <w:lvlJc w:val="left"/>
      <w:pPr>
        <w:ind w:left="425" w:hanging="425"/>
      </w:pPr>
      <w:rPr>
        <w:rFonts w:hint="default"/>
      </w:rPr>
    </w:lvl>
  </w:abstractNum>
  <w:abstractNum w:abstractNumId="17">
    <w:nsid w:val="F5A2EAA6"/>
    <w:multiLevelType w:val="singleLevel"/>
    <w:tmpl w:val="F5A2EAA6"/>
    <w:lvl w:ilvl="0" w:tentative="0">
      <w:start w:val="1"/>
      <w:numFmt w:val="chineseCounting"/>
      <w:suff w:val="nothing"/>
      <w:lvlText w:val="（%1）"/>
      <w:lvlJc w:val="left"/>
      <w:pPr>
        <w:ind w:left="0" w:firstLine="420"/>
      </w:pPr>
      <w:rPr>
        <w:rFonts w:hint="eastAsia"/>
      </w:rPr>
    </w:lvl>
  </w:abstractNum>
  <w:abstractNum w:abstractNumId="18">
    <w:nsid w:val="FE9A5839"/>
    <w:multiLevelType w:val="singleLevel"/>
    <w:tmpl w:val="FE9A5839"/>
    <w:lvl w:ilvl="0" w:tentative="0">
      <w:start w:val="1"/>
      <w:numFmt w:val="decimal"/>
      <w:lvlText w:val="%1."/>
      <w:lvlJc w:val="left"/>
      <w:pPr>
        <w:ind w:left="425" w:hanging="425"/>
      </w:pPr>
      <w:rPr>
        <w:rFonts w:hint="default"/>
      </w:rPr>
    </w:lvl>
  </w:abstractNum>
  <w:abstractNum w:abstractNumId="19">
    <w:nsid w:val="0000000B"/>
    <w:multiLevelType w:val="multilevel"/>
    <w:tmpl w:val="0000000B"/>
    <w:lvl w:ilvl="0" w:tentative="0">
      <w:start w:val="1"/>
      <w:numFmt w:val="decimal"/>
      <w:lvlText w:val="（%1）"/>
      <w:lvlJc w:val="left"/>
      <w:pPr>
        <w:tabs>
          <w:tab w:val="left" w:pos="652"/>
        </w:tabs>
        <w:ind w:left="1106" w:hanging="680"/>
      </w:pPr>
      <w:rPr>
        <w:rFonts w:hint="eastAsia"/>
      </w:rPr>
    </w:lvl>
    <w:lvl w:ilvl="1" w:tentative="0">
      <w:start w:val="1"/>
      <w:numFmt w:val="lowerLetter"/>
      <w:lvlText w:val="%2)"/>
      <w:lvlJc w:val="left"/>
      <w:pPr>
        <w:tabs>
          <w:tab w:val="left" w:pos="415"/>
        </w:tabs>
        <w:ind w:left="415" w:hanging="420"/>
      </w:pPr>
    </w:lvl>
    <w:lvl w:ilvl="2" w:tentative="0">
      <w:start w:val="1"/>
      <w:numFmt w:val="lowerRoman"/>
      <w:lvlText w:val="%3."/>
      <w:lvlJc w:val="right"/>
      <w:pPr>
        <w:tabs>
          <w:tab w:val="left" w:pos="835"/>
        </w:tabs>
        <w:ind w:left="835" w:hanging="420"/>
      </w:pPr>
    </w:lvl>
    <w:lvl w:ilvl="3" w:tentative="0">
      <w:start w:val="1"/>
      <w:numFmt w:val="decimal"/>
      <w:lvlText w:val="%4."/>
      <w:lvlJc w:val="left"/>
      <w:pPr>
        <w:tabs>
          <w:tab w:val="left" w:pos="1255"/>
        </w:tabs>
        <w:ind w:left="1255" w:hanging="420"/>
      </w:pPr>
    </w:lvl>
    <w:lvl w:ilvl="4" w:tentative="0">
      <w:start w:val="1"/>
      <w:numFmt w:val="lowerLetter"/>
      <w:lvlText w:val="%5)"/>
      <w:lvlJc w:val="left"/>
      <w:pPr>
        <w:tabs>
          <w:tab w:val="left" w:pos="1675"/>
        </w:tabs>
        <w:ind w:left="1675" w:hanging="420"/>
      </w:pPr>
    </w:lvl>
    <w:lvl w:ilvl="5" w:tentative="0">
      <w:start w:val="1"/>
      <w:numFmt w:val="lowerRoman"/>
      <w:lvlText w:val="%6."/>
      <w:lvlJc w:val="right"/>
      <w:pPr>
        <w:tabs>
          <w:tab w:val="left" w:pos="2095"/>
        </w:tabs>
        <w:ind w:left="2095" w:hanging="420"/>
      </w:pPr>
    </w:lvl>
    <w:lvl w:ilvl="6" w:tentative="0">
      <w:start w:val="1"/>
      <w:numFmt w:val="decimal"/>
      <w:lvlText w:val="%7."/>
      <w:lvlJc w:val="left"/>
      <w:pPr>
        <w:tabs>
          <w:tab w:val="left" w:pos="2515"/>
        </w:tabs>
        <w:ind w:left="2515" w:hanging="420"/>
      </w:pPr>
    </w:lvl>
    <w:lvl w:ilvl="7" w:tentative="0">
      <w:start w:val="1"/>
      <w:numFmt w:val="lowerLetter"/>
      <w:lvlText w:val="%8)"/>
      <w:lvlJc w:val="left"/>
      <w:pPr>
        <w:tabs>
          <w:tab w:val="left" w:pos="2935"/>
        </w:tabs>
        <w:ind w:left="2935" w:hanging="420"/>
      </w:pPr>
    </w:lvl>
    <w:lvl w:ilvl="8" w:tentative="0">
      <w:start w:val="1"/>
      <w:numFmt w:val="lowerRoman"/>
      <w:lvlText w:val="%9."/>
      <w:lvlJc w:val="right"/>
      <w:pPr>
        <w:tabs>
          <w:tab w:val="left" w:pos="3355"/>
        </w:tabs>
        <w:ind w:left="3355" w:hanging="420"/>
      </w:pPr>
    </w:lvl>
  </w:abstractNum>
  <w:abstractNum w:abstractNumId="20">
    <w:nsid w:val="00000016"/>
    <w:multiLevelType w:val="multilevel"/>
    <w:tmpl w:val="00000016"/>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0000001D"/>
    <w:multiLevelType w:val="multilevel"/>
    <w:tmpl w:val="0000001D"/>
    <w:lvl w:ilvl="0" w:tentative="0">
      <w:start w:val="1"/>
      <w:numFmt w:val="chineseCountingThousand"/>
      <w:suff w:val="nothing"/>
      <w:lvlText w:val="%1、"/>
      <w:lvlJc w:val="left"/>
      <w:rPr>
        <w:rFonts w:hint="eastAsia"/>
        <w:b/>
        <w:i w:val="0"/>
        <w:sz w:val="24"/>
      </w:rPr>
    </w:lvl>
    <w:lvl w:ilvl="1" w:tentative="0">
      <w:start w:val="1"/>
      <w:numFmt w:val="decimal"/>
      <w:pStyle w:val="4"/>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2">
    <w:nsid w:val="00000022"/>
    <w:multiLevelType w:val="multilevel"/>
    <w:tmpl w:val="00000022"/>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420"/>
        </w:tabs>
        <w:ind w:left="420" w:hanging="420"/>
      </w:pPr>
      <w:rPr>
        <w:rFonts w:cs="Times New Roman"/>
      </w:rPr>
    </w:lvl>
    <w:lvl w:ilvl="2" w:tentative="0">
      <w:start w:val="1"/>
      <w:numFmt w:val="lowerRoman"/>
      <w:lvlText w:val="%3."/>
      <w:lvlJc w:val="right"/>
      <w:pPr>
        <w:tabs>
          <w:tab w:val="left" w:pos="840"/>
        </w:tabs>
        <w:ind w:left="840" w:hanging="420"/>
      </w:pPr>
      <w:rPr>
        <w:rFonts w:cs="Times New Roman"/>
      </w:rPr>
    </w:lvl>
    <w:lvl w:ilvl="3" w:tentative="0">
      <w:start w:val="1"/>
      <w:numFmt w:val="decimal"/>
      <w:lvlText w:val="%4."/>
      <w:lvlJc w:val="left"/>
      <w:pPr>
        <w:tabs>
          <w:tab w:val="left" w:pos="1260"/>
        </w:tabs>
        <w:ind w:left="1260" w:hanging="420"/>
      </w:pPr>
      <w:rPr>
        <w:rFonts w:cs="Times New Roman"/>
      </w:rPr>
    </w:lvl>
    <w:lvl w:ilvl="4" w:tentative="0">
      <w:start w:val="1"/>
      <w:numFmt w:val="lowerLetter"/>
      <w:lvlText w:val="%5)"/>
      <w:lvlJc w:val="left"/>
      <w:pPr>
        <w:tabs>
          <w:tab w:val="left" w:pos="1680"/>
        </w:tabs>
        <w:ind w:left="1680" w:hanging="420"/>
      </w:pPr>
      <w:rPr>
        <w:rFonts w:cs="Times New Roman"/>
      </w:rPr>
    </w:lvl>
    <w:lvl w:ilvl="5" w:tentative="0">
      <w:start w:val="1"/>
      <w:numFmt w:val="lowerRoman"/>
      <w:lvlText w:val="%6."/>
      <w:lvlJc w:val="right"/>
      <w:pPr>
        <w:tabs>
          <w:tab w:val="left" w:pos="2100"/>
        </w:tabs>
        <w:ind w:left="2100" w:hanging="420"/>
      </w:pPr>
      <w:rPr>
        <w:rFonts w:cs="Times New Roman"/>
      </w:rPr>
    </w:lvl>
    <w:lvl w:ilvl="6" w:tentative="0">
      <w:start w:val="1"/>
      <w:numFmt w:val="decimal"/>
      <w:lvlText w:val="%7."/>
      <w:lvlJc w:val="left"/>
      <w:pPr>
        <w:tabs>
          <w:tab w:val="left" w:pos="2520"/>
        </w:tabs>
        <w:ind w:left="2520" w:hanging="420"/>
      </w:pPr>
      <w:rPr>
        <w:rFonts w:cs="Times New Roman"/>
      </w:rPr>
    </w:lvl>
    <w:lvl w:ilvl="7" w:tentative="0">
      <w:start w:val="1"/>
      <w:numFmt w:val="lowerLetter"/>
      <w:lvlText w:val="%8)"/>
      <w:lvlJc w:val="left"/>
      <w:pPr>
        <w:tabs>
          <w:tab w:val="left" w:pos="2940"/>
        </w:tabs>
        <w:ind w:left="2940" w:hanging="420"/>
      </w:pPr>
      <w:rPr>
        <w:rFonts w:cs="Times New Roman"/>
      </w:rPr>
    </w:lvl>
    <w:lvl w:ilvl="8" w:tentative="0">
      <w:start w:val="1"/>
      <w:numFmt w:val="lowerRoman"/>
      <w:lvlText w:val="%9."/>
      <w:lvlJc w:val="right"/>
      <w:pPr>
        <w:tabs>
          <w:tab w:val="left" w:pos="3360"/>
        </w:tabs>
        <w:ind w:left="3360" w:hanging="420"/>
      </w:pPr>
      <w:rPr>
        <w:rFonts w:cs="Times New Roman"/>
      </w:rPr>
    </w:lvl>
  </w:abstractNum>
  <w:abstractNum w:abstractNumId="23">
    <w:nsid w:val="00000023"/>
    <w:multiLevelType w:val="multilevel"/>
    <w:tmpl w:val="00000023"/>
    <w:lvl w:ilvl="0" w:tentative="0">
      <w:start w:val="1"/>
      <w:numFmt w:val="decimal"/>
      <w:lvlText w:val="%1"/>
      <w:lvlJc w:val="left"/>
      <w:pPr>
        <w:tabs>
          <w:tab w:val="left" w:pos="420"/>
        </w:tabs>
        <w:ind w:left="420" w:hanging="420"/>
      </w:pPr>
      <w:rPr>
        <w:rFonts w:hint="eastAsia" w:cs="Times New Roman"/>
      </w:rPr>
    </w:lvl>
    <w:lvl w:ilvl="1" w:tentative="0">
      <w:start w:val="1"/>
      <w:numFmt w:val="decimal"/>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4">
    <w:nsid w:val="0000003A"/>
    <w:multiLevelType w:val="multilevel"/>
    <w:tmpl w:val="0000003A"/>
    <w:lvl w:ilvl="0" w:tentative="0">
      <w:start w:val="1"/>
      <w:numFmt w:val="decimal"/>
      <w:lvlText w:val="16.%1"/>
      <w:lvlJc w:val="left"/>
      <w:pPr>
        <w:tabs>
          <w:tab w:val="left" w:pos="840"/>
        </w:tabs>
        <w:ind w:left="840" w:hanging="420"/>
      </w:pPr>
      <w:rPr>
        <w:rFonts w:hint="default" w:ascii="Times New Roman" w:hAnsi="Times New Roman" w:cs="Times New Roman"/>
        <w:b w:val="0"/>
      </w:rPr>
    </w:lvl>
    <w:lvl w:ilvl="1" w:tentative="0">
      <w:start w:val="1"/>
      <w:numFmt w:val="decimal"/>
      <w:lvlText w:val="%2)"/>
      <w:lvlJc w:val="left"/>
      <w:pPr>
        <w:tabs>
          <w:tab w:val="left" w:pos="840"/>
        </w:tabs>
        <w:ind w:left="840" w:hanging="420"/>
      </w:pPr>
      <w:rPr>
        <w:rFonts w:hint="eastAsia" w:cs="Times New Roman"/>
        <w:b w:val="0"/>
        <w:color w:val="auto"/>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00000041"/>
    <w:multiLevelType w:val="multilevel"/>
    <w:tmpl w:val="00000041"/>
    <w:lvl w:ilvl="0" w:tentative="0">
      <w:start w:val="1"/>
      <w:numFmt w:val="bullet"/>
      <w:lvlText w:val=""/>
      <w:lvlJc w:val="left"/>
      <w:pPr>
        <w:tabs>
          <w:tab w:val="left" w:pos="598"/>
        </w:tabs>
        <w:ind w:left="598" w:hanging="420"/>
      </w:pPr>
      <w:rPr>
        <w:rFonts w:hint="default" w:ascii="Wingdings" w:hAnsi="Wingdings"/>
      </w:rPr>
    </w:lvl>
    <w:lvl w:ilvl="1" w:tentative="0">
      <w:start w:val="1"/>
      <w:numFmt w:val="decimal"/>
      <w:lvlText w:val="%2."/>
      <w:lvlJc w:val="left"/>
      <w:pPr>
        <w:tabs>
          <w:tab w:val="left" w:pos="1018"/>
        </w:tabs>
        <w:ind w:left="1018" w:hanging="420"/>
      </w:pPr>
      <w:rPr>
        <w:rFonts w:hint="default" w:cs="Times New Roman"/>
      </w:rPr>
    </w:lvl>
    <w:lvl w:ilvl="2" w:tentative="0">
      <w:start w:val="1"/>
      <w:numFmt w:val="bullet"/>
      <w:lvlText w:val=""/>
      <w:lvlJc w:val="left"/>
      <w:pPr>
        <w:tabs>
          <w:tab w:val="left" w:pos="1438"/>
        </w:tabs>
        <w:ind w:left="1438" w:hanging="420"/>
      </w:pPr>
      <w:rPr>
        <w:rFonts w:hint="default" w:ascii="Wingdings" w:hAnsi="Wingdings"/>
      </w:rPr>
    </w:lvl>
    <w:lvl w:ilvl="3" w:tentative="0">
      <w:start w:val="1"/>
      <w:numFmt w:val="bullet"/>
      <w:lvlText w:val=""/>
      <w:lvlJc w:val="left"/>
      <w:pPr>
        <w:tabs>
          <w:tab w:val="left" w:pos="1858"/>
        </w:tabs>
        <w:ind w:left="1858" w:hanging="420"/>
      </w:pPr>
      <w:rPr>
        <w:rFonts w:hint="default" w:ascii="Wingdings" w:hAnsi="Wingdings"/>
      </w:rPr>
    </w:lvl>
    <w:lvl w:ilvl="4" w:tentative="0">
      <w:start w:val="1"/>
      <w:numFmt w:val="bullet"/>
      <w:lvlText w:val=""/>
      <w:lvlJc w:val="left"/>
      <w:pPr>
        <w:tabs>
          <w:tab w:val="left" w:pos="2278"/>
        </w:tabs>
        <w:ind w:left="2278" w:hanging="420"/>
      </w:pPr>
      <w:rPr>
        <w:rFonts w:hint="default" w:ascii="Wingdings" w:hAnsi="Wingdings"/>
      </w:rPr>
    </w:lvl>
    <w:lvl w:ilvl="5" w:tentative="0">
      <w:start w:val="1"/>
      <w:numFmt w:val="bullet"/>
      <w:lvlText w:val=""/>
      <w:lvlJc w:val="left"/>
      <w:pPr>
        <w:tabs>
          <w:tab w:val="left" w:pos="2698"/>
        </w:tabs>
        <w:ind w:left="2698" w:hanging="420"/>
      </w:pPr>
      <w:rPr>
        <w:rFonts w:hint="default" w:ascii="Wingdings" w:hAnsi="Wingdings"/>
      </w:rPr>
    </w:lvl>
    <w:lvl w:ilvl="6" w:tentative="0">
      <w:start w:val="1"/>
      <w:numFmt w:val="bullet"/>
      <w:lvlText w:val=""/>
      <w:lvlJc w:val="left"/>
      <w:pPr>
        <w:tabs>
          <w:tab w:val="left" w:pos="3118"/>
        </w:tabs>
        <w:ind w:left="3118" w:hanging="420"/>
      </w:pPr>
      <w:rPr>
        <w:rFonts w:hint="default" w:ascii="Wingdings" w:hAnsi="Wingdings"/>
      </w:rPr>
    </w:lvl>
    <w:lvl w:ilvl="7" w:tentative="0">
      <w:start w:val="1"/>
      <w:numFmt w:val="bullet"/>
      <w:lvlText w:val=""/>
      <w:lvlJc w:val="left"/>
      <w:pPr>
        <w:tabs>
          <w:tab w:val="left" w:pos="3538"/>
        </w:tabs>
        <w:ind w:left="3538" w:hanging="420"/>
      </w:pPr>
      <w:rPr>
        <w:rFonts w:hint="default" w:ascii="Wingdings" w:hAnsi="Wingdings"/>
      </w:rPr>
    </w:lvl>
    <w:lvl w:ilvl="8" w:tentative="0">
      <w:start w:val="1"/>
      <w:numFmt w:val="bullet"/>
      <w:lvlText w:val=""/>
      <w:lvlJc w:val="left"/>
      <w:pPr>
        <w:tabs>
          <w:tab w:val="left" w:pos="3958"/>
        </w:tabs>
        <w:ind w:left="3958" w:hanging="420"/>
      </w:pPr>
      <w:rPr>
        <w:rFonts w:hint="default" w:ascii="Wingdings" w:hAnsi="Wingdings"/>
      </w:rPr>
    </w:lvl>
  </w:abstractNum>
  <w:abstractNum w:abstractNumId="26">
    <w:nsid w:val="00000043"/>
    <w:multiLevelType w:val="multilevel"/>
    <w:tmpl w:val="0000004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5"/>
      <w:numFmt w:val="decimal"/>
      <w:lvlText w:val="%3．"/>
      <w:lvlJc w:val="left"/>
      <w:pPr>
        <w:tabs>
          <w:tab w:val="left" w:pos="1200"/>
        </w:tabs>
        <w:ind w:left="1200" w:hanging="36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7">
    <w:nsid w:val="08C84316"/>
    <w:multiLevelType w:val="singleLevel"/>
    <w:tmpl w:val="08C84316"/>
    <w:lvl w:ilvl="0" w:tentative="0">
      <w:start w:val="1"/>
      <w:numFmt w:val="decimal"/>
      <w:suff w:val="space"/>
      <w:lvlText w:val="%1)"/>
      <w:lvlJc w:val="left"/>
      <w:pPr>
        <w:ind w:left="425" w:hanging="425"/>
      </w:pPr>
      <w:rPr>
        <w:rFonts w:hint="default" w:ascii="宋体" w:hAnsi="宋体" w:eastAsia="宋体" w:cs="宋体"/>
      </w:rPr>
    </w:lvl>
  </w:abstractNum>
  <w:abstractNum w:abstractNumId="28">
    <w:nsid w:val="12F1127D"/>
    <w:multiLevelType w:val="singleLevel"/>
    <w:tmpl w:val="12F1127D"/>
    <w:lvl w:ilvl="0" w:tentative="0">
      <w:start w:val="1"/>
      <w:numFmt w:val="decimal"/>
      <w:suff w:val="space"/>
      <w:lvlText w:val="%1."/>
      <w:lvlJc w:val="left"/>
      <w:pPr>
        <w:ind w:left="454" w:leftChars="0" w:hanging="454" w:firstLineChars="0"/>
      </w:pPr>
      <w:rPr>
        <w:rFonts w:hint="default"/>
      </w:rPr>
    </w:lvl>
  </w:abstractNum>
  <w:abstractNum w:abstractNumId="29">
    <w:nsid w:val="15A7C4FD"/>
    <w:multiLevelType w:val="singleLevel"/>
    <w:tmpl w:val="15A7C4FD"/>
    <w:lvl w:ilvl="0" w:tentative="0">
      <w:start w:val="1"/>
      <w:numFmt w:val="decimal"/>
      <w:lvlText w:val="%1."/>
      <w:lvlJc w:val="left"/>
      <w:pPr>
        <w:ind w:left="425" w:hanging="425"/>
      </w:pPr>
      <w:rPr>
        <w:rFonts w:hint="default"/>
      </w:rPr>
    </w:lvl>
  </w:abstractNum>
  <w:abstractNum w:abstractNumId="30">
    <w:nsid w:val="1CEF3599"/>
    <w:multiLevelType w:val="singleLevel"/>
    <w:tmpl w:val="1CEF3599"/>
    <w:lvl w:ilvl="0" w:tentative="0">
      <w:start w:val="1"/>
      <w:numFmt w:val="decimal"/>
      <w:lvlText w:val="%1."/>
      <w:lvlJc w:val="left"/>
      <w:pPr>
        <w:ind w:left="425" w:hanging="425"/>
      </w:pPr>
      <w:rPr>
        <w:rFonts w:hint="default"/>
      </w:rPr>
    </w:lvl>
  </w:abstractNum>
  <w:abstractNum w:abstractNumId="31">
    <w:nsid w:val="1F8196E8"/>
    <w:multiLevelType w:val="singleLevel"/>
    <w:tmpl w:val="1F8196E8"/>
    <w:lvl w:ilvl="0" w:tentative="0">
      <w:start w:val="1"/>
      <w:numFmt w:val="decimal"/>
      <w:lvlText w:val="(%1)"/>
      <w:lvlJc w:val="left"/>
      <w:pPr>
        <w:ind w:left="425" w:hanging="425"/>
      </w:pPr>
      <w:rPr>
        <w:rFonts w:hint="default"/>
      </w:rPr>
    </w:lvl>
  </w:abstractNum>
  <w:abstractNum w:abstractNumId="32">
    <w:nsid w:val="2056F178"/>
    <w:multiLevelType w:val="multilevel"/>
    <w:tmpl w:val="2056F178"/>
    <w:lvl w:ilvl="0" w:tentative="0">
      <w:start w:val="1"/>
      <w:numFmt w:val="decimal"/>
      <w:suff w:val="space"/>
      <w:lvlText w:val="%1."/>
      <w:lvlJc w:val="left"/>
      <w:pPr>
        <w:ind w:left="624" w:hanging="624"/>
      </w:pPr>
      <w:rPr>
        <w:rFonts w:hint="default" w:ascii="宋体" w:hAnsi="宋体" w:eastAsia="宋体" w:cs="宋体"/>
        <w:b/>
        <w:i w:val="0"/>
      </w:rPr>
    </w:lvl>
    <w:lvl w:ilvl="1" w:tentative="0">
      <w:start w:val="1"/>
      <w:numFmt w:val="decimal"/>
      <w:suff w:val="space"/>
      <w:lvlText w:val="%1.%2"/>
      <w:lvlJc w:val="left"/>
      <w:pPr>
        <w:ind w:left="624" w:hanging="624"/>
      </w:pPr>
      <w:rPr>
        <w:rFonts w:hint="default" w:ascii="宋体" w:hAnsi="宋体" w:eastAsia="宋体" w:cs="宋体"/>
        <w:b w:val="0"/>
        <w:bCs w:val="0"/>
        <w:i w:val="0"/>
        <w:color w:val="auto"/>
        <w:sz w:val="24"/>
        <w:szCs w:val="24"/>
      </w:rPr>
    </w:lvl>
    <w:lvl w:ilvl="2" w:tentative="0">
      <w:start w:val="1"/>
      <w:numFmt w:val="decimal"/>
      <w:suff w:val="space"/>
      <w:lvlText w:val="%1.%2.%3."/>
      <w:lvlJc w:val="left"/>
      <w:pPr>
        <w:ind w:left="709" w:hanging="709"/>
      </w:pPr>
      <w:rPr>
        <w:rFonts w:hint="default" w:ascii="宋体" w:hAnsi="宋体" w:eastAsia="宋体" w:cs="宋体"/>
      </w:rPr>
    </w:lvl>
    <w:lvl w:ilvl="3" w:tentative="0">
      <w:start w:val="1"/>
      <w:numFmt w:val="decimal"/>
      <w:suff w:val="space"/>
      <w:lvlText w:val="%1.%2.%3.%4."/>
      <w:lvlJc w:val="left"/>
      <w:pPr>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2767BC46"/>
    <w:multiLevelType w:val="singleLevel"/>
    <w:tmpl w:val="2767BC46"/>
    <w:lvl w:ilvl="0" w:tentative="0">
      <w:start w:val="1"/>
      <w:numFmt w:val="decimal"/>
      <w:lvlText w:val="(%1)"/>
      <w:lvlJc w:val="left"/>
      <w:pPr>
        <w:ind w:left="425" w:hanging="425"/>
      </w:pPr>
      <w:rPr>
        <w:rFonts w:hint="default"/>
      </w:rPr>
    </w:lvl>
  </w:abstractNum>
  <w:abstractNum w:abstractNumId="34">
    <w:nsid w:val="2AF33EBD"/>
    <w:multiLevelType w:val="multilevel"/>
    <w:tmpl w:val="2AF33EBD"/>
    <w:lvl w:ilvl="0" w:tentative="0">
      <w:start w:val="1"/>
      <w:numFmt w:val="decimal"/>
      <w:lvlText w:val="（%1）"/>
      <w:lvlJc w:val="left"/>
      <w:pPr>
        <w:tabs>
          <w:tab w:val="left" w:pos="652"/>
        </w:tabs>
        <w:ind w:left="1106" w:hanging="680"/>
      </w:pPr>
      <w:rPr>
        <w:rFonts w:hint="eastAsia"/>
      </w:rPr>
    </w:lvl>
    <w:lvl w:ilvl="1" w:tentative="0">
      <w:start w:val="1"/>
      <w:numFmt w:val="lowerLetter"/>
      <w:lvlText w:val="%2)"/>
      <w:lvlJc w:val="left"/>
      <w:pPr>
        <w:tabs>
          <w:tab w:val="left" w:pos="415"/>
        </w:tabs>
        <w:ind w:left="415" w:hanging="420"/>
      </w:pPr>
    </w:lvl>
    <w:lvl w:ilvl="2" w:tentative="0">
      <w:start w:val="1"/>
      <w:numFmt w:val="lowerRoman"/>
      <w:lvlText w:val="%3."/>
      <w:lvlJc w:val="right"/>
      <w:pPr>
        <w:tabs>
          <w:tab w:val="left" w:pos="835"/>
        </w:tabs>
        <w:ind w:left="835" w:hanging="420"/>
      </w:pPr>
    </w:lvl>
    <w:lvl w:ilvl="3" w:tentative="0">
      <w:start w:val="1"/>
      <w:numFmt w:val="decimal"/>
      <w:lvlText w:val="%4."/>
      <w:lvlJc w:val="left"/>
      <w:pPr>
        <w:tabs>
          <w:tab w:val="left" w:pos="1255"/>
        </w:tabs>
        <w:ind w:left="1255" w:hanging="420"/>
      </w:pPr>
    </w:lvl>
    <w:lvl w:ilvl="4" w:tentative="0">
      <w:start w:val="1"/>
      <w:numFmt w:val="lowerLetter"/>
      <w:lvlText w:val="%5)"/>
      <w:lvlJc w:val="left"/>
      <w:pPr>
        <w:tabs>
          <w:tab w:val="left" w:pos="1675"/>
        </w:tabs>
        <w:ind w:left="1675" w:hanging="420"/>
      </w:pPr>
    </w:lvl>
    <w:lvl w:ilvl="5" w:tentative="0">
      <w:start w:val="1"/>
      <w:numFmt w:val="lowerRoman"/>
      <w:lvlText w:val="%6."/>
      <w:lvlJc w:val="right"/>
      <w:pPr>
        <w:tabs>
          <w:tab w:val="left" w:pos="2095"/>
        </w:tabs>
        <w:ind w:left="2095" w:hanging="420"/>
      </w:pPr>
    </w:lvl>
    <w:lvl w:ilvl="6" w:tentative="0">
      <w:start w:val="1"/>
      <w:numFmt w:val="decimal"/>
      <w:lvlText w:val="%7."/>
      <w:lvlJc w:val="left"/>
      <w:pPr>
        <w:tabs>
          <w:tab w:val="left" w:pos="2515"/>
        </w:tabs>
        <w:ind w:left="2515" w:hanging="420"/>
      </w:pPr>
    </w:lvl>
    <w:lvl w:ilvl="7" w:tentative="0">
      <w:start w:val="1"/>
      <w:numFmt w:val="lowerLetter"/>
      <w:lvlText w:val="%8)"/>
      <w:lvlJc w:val="left"/>
      <w:pPr>
        <w:tabs>
          <w:tab w:val="left" w:pos="2935"/>
        </w:tabs>
        <w:ind w:left="2935" w:hanging="420"/>
      </w:pPr>
    </w:lvl>
    <w:lvl w:ilvl="8" w:tentative="0">
      <w:start w:val="1"/>
      <w:numFmt w:val="lowerRoman"/>
      <w:lvlText w:val="%9."/>
      <w:lvlJc w:val="right"/>
      <w:pPr>
        <w:tabs>
          <w:tab w:val="left" w:pos="3355"/>
        </w:tabs>
        <w:ind w:left="3355" w:hanging="420"/>
      </w:pPr>
    </w:lvl>
  </w:abstractNum>
  <w:abstractNum w:abstractNumId="35">
    <w:nsid w:val="3128AD4E"/>
    <w:multiLevelType w:val="singleLevel"/>
    <w:tmpl w:val="3128AD4E"/>
    <w:lvl w:ilvl="0" w:tentative="0">
      <w:start w:val="1"/>
      <w:numFmt w:val="chineseCounting"/>
      <w:suff w:val="nothing"/>
      <w:lvlText w:val="（%1）"/>
      <w:lvlJc w:val="left"/>
      <w:pPr>
        <w:ind w:left="0" w:firstLine="420"/>
      </w:pPr>
      <w:rPr>
        <w:rFonts w:hint="eastAsia"/>
      </w:rPr>
    </w:lvl>
  </w:abstractNum>
  <w:abstractNum w:abstractNumId="36">
    <w:nsid w:val="324DD2EE"/>
    <w:multiLevelType w:val="singleLevel"/>
    <w:tmpl w:val="324DD2EE"/>
    <w:lvl w:ilvl="0" w:tentative="0">
      <w:start w:val="1"/>
      <w:numFmt w:val="decimal"/>
      <w:lvlText w:val="%1."/>
      <w:lvlJc w:val="left"/>
      <w:pPr>
        <w:ind w:left="425" w:hanging="425"/>
      </w:pPr>
      <w:rPr>
        <w:rFonts w:hint="default"/>
      </w:rPr>
    </w:lvl>
  </w:abstractNum>
  <w:abstractNum w:abstractNumId="37">
    <w:nsid w:val="45D53754"/>
    <w:multiLevelType w:val="singleLevel"/>
    <w:tmpl w:val="45D53754"/>
    <w:lvl w:ilvl="0" w:tentative="0">
      <w:start w:val="1"/>
      <w:numFmt w:val="decimal"/>
      <w:lvlText w:val="%1."/>
      <w:lvlJc w:val="left"/>
      <w:pPr>
        <w:ind w:left="425" w:hanging="425"/>
      </w:pPr>
      <w:rPr>
        <w:rFonts w:hint="default"/>
      </w:rPr>
    </w:lvl>
  </w:abstractNum>
  <w:abstractNum w:abstractNumId="38">
    <w:nsid w:val="464CD398"/>
    <w:multiLevelType w:val="singleLevel"/>
    <w:tmpl w:val="464CD398"/>
    <w:lvl w:ilvl="0" w:tentative="0">
      <w:start w:val="1"/>
      <w:numFmt w:val="decimal"/>
      <w:lvlText w:val="%1."/>
      <w:lvlJc w:val="left"/>
      <w:pPr>
        <w:ind w:left="425" w:hanging="425"/>
      </w:pPr>
      <w:rPr>
        <w:rFonts w:hint="default"/>
      </w:rPr>
    </w:lvl>
  </w:abstractNum>
  <w:abstractNum w:abstractNumId="39">
    <w:nsid w:val="4D83CE11"/>
    <w:multiLevelType w:val="singleLevel"/>
    <w:tmpl w:val="4D83CE11"/>
    <w:lvl w:ilvl="0" w:tentative="0">
      <w:start w:val="1"/>
      <w:numFmt w:val="chineseCounting"/>
      <w:suff w:val="nothing"/>
      <w:lvlText w:val="（%1）"/>
      <w:lvlJc w:val="left"/>
      <w:pPr>
        <w:ind w:left="0" w:firstLine="420"/>
      </w:pPr>
      <w:rPr>
        <w:rFonts w:hint="eastAsia"/>
      </w:rPr>
    </w:lvl>
  </w:abstractNum>
  <w:abstractNum w:abstractNumId="40">
    <w:nsid w:val="516CD22D"/>
    <w:multiLevelType w:val="singleLevel"/>
    <w:tmpl w:val="516CD22D"/>
    <w:lvl w:ilvl="0" w:tentative="0">
      <w:start w:val="1"/>
      <w:numFmt w:val="decimal"/>
      <w:lvlText w:val="%1."/>
      <w:lvlJc w:val="left"/>
      <w:pPr>
        <w:ind w:left="425" w:hanging="425"/>
      </w:pPr>
      <w:rPr>
        <w:rFonts w:hint="default"/>
      </w:rPr>
    </w:lvl>
  </w:abstractNum>
  <w:abstractNum w:abstractNumId="41">
    <w:nsid w:val="55ADAA3D"/>
    <w:multiLevelType w:val="singleLevel"/>
    <w:tmpl w:val="55ADAA3D"/>
    <w:lvl w:ilvl="0" w:tentative="0">
      <w:start w:val="1"/>
      <w:numFmt w:val="decimal"/>
      <w:lvlText w:val="%1."/>
      <w:lvlJc w:val="left"/>
      <w:pPr>
        <w:ind w:left="425" w:hanging="425"/>
      </w:pPr>
      <w:rPr>
        <w:rFonts w:hint="default"/>
      </w:rPr>
    </w:lvl>
  </w:abstractNum>
  <w:abstractNum w:abstractNumId="42">
    <w:nsid w:val="5B991B26"/>
    <w:multiLevelType w:val="singleLevel"/>
    <w:tmpl w:val="5B991B26"/>
    <w:lvl w:ilvl="0" w:tentative="0">
      <w:start w:val="1"/>
      <w:numFmt w:val="decimal"/>
      <w:lvlText w:val="%1."/>
      <w:lvlJc w:val="left"/>
      <w:pPr>
        <w:ind w:left="425" w:hanging="425"/>
      </w:pPr>
      <w:rPr>
        <w:rFonts w:hint="default"/>
      </w:rPr>
    </w:lvl>
  </w:abstractNum>
  <w:abstractNum w:abstractNumId="43">
    <w:nsid w:val="5E036EA0"/>
    <w:multiLevelType w:val="singleLevel"/>
    <w:tmpl w:val="5E036EA0"/>
    <w:lvl w:ilvl="0" w:tentative="0">
      <w:start w:val="1"/>
      <w:numFmt w:val="decimal"/>
      <w:lvlText w:val="%1."/>
      <w:lvlJc w:val="left"/>
      <w:pPr>
        <w:ind w:left="425" w:hanging="425"/>
      </w:pPr>
      <w:rPr>
        <w:rFonts w:hint="default"/>
      </w:rPr>
    </w:lvl>
  </w:abstractNum>
  <w:abstractNum w:abstractNumId="44">
    <w:nsid w:val="5E92D89C"/>
    <w:multiLevelType w:val="multilevel"/>
    <w:tmpl w:val="5E92D89C"/>
    <w:lvl w:ilvl="0" w:tentative="0">
      <w:start w:val="1"/>
      <w:numFmt w:val="decimal"/>
      <w:lvlText w:val="%1."/>
      <w:lvlJc w:val="left"/>
      <w:pPr>
        <w:tabs>
          <w:tab w:val="left" w:pos="780"/>
        </w:tabs>
        <w:ind w:left="780" w:hanging="360"/>
      </w:pPr>
      <w:rPr>
        <w:rFonts w:hint="default" w:ascii="宋体" w:hAnsi="宋体" w:eastAsia="宋体" w:cs="宋体"/>
      </w:rPr>
    </w:lvl>
    <w:lvl w:ilvl="1" w:tentative="0">
      <w:start w:val="1"/>
      <w:numFmt w:val="lowerLetter"/>
      <w:lvlText w:val="%2)"/>
      <w:lvlJc w:val="left"/>
      <w:pPr>
        <w:tabs>
          <w:tab w:val="left" w:pos="420"/>
        </w:tabs>
        <w:ind w:left="420" w:hanging="420"/>
      </w:pPr>
      <w:rPr>
        <w:rFonts w:cs="Times New Roman"/>
      </w:rPr>
    </w:lvl>
    <w:lvl w:ilvl="2" w:tentative="0">
      <w:start w:val="1"/>
      <w:numFmt w:val="lowerRoman"/>
      <w:lvlText w:val="%3."/>
      <w:lvlJc w:val="right"/>
      <w:pPr>
        <w:tabs>
          <w:tab w:val="left" w:pos="840"/>
        </w:tabs>
        <w:ind w:left="840" w:hanging="420"/>
      </w:pPr>
      <w:rPr>
        <w:rFonts w:cs="Times New Roman"/>
      </w:rPr>
    </w:lvl>
    <w:lvl w:ilvl="3" w:tentative="0">
      <w:start w:val="1"/>
      <w:numFmt w:val="decimal"/>
      <w:lvlText w:val="%4."/>
      <w:lvlJc w:val="left"/>
      <w:pPr>
        <w:tabs>
          <w:tab w:val="left" w:pos="1260"/>
        </w:tabs>
        <w:ind w:left="1260" w:hanging="420"/>
      </w:pPr>
      <w:rPr>
        <w:rFonts w:cs="Times New Roman"/>
      </w:rPr>
    </w:lvl>
    <w:lvl w:ilvl="4" w:tentative="0">
      <w:start w:val="1"/>
      <w:numFmt w:val="lowerLetter"/>
      <w:lvlText w:val="%5)"/>
      <w:lvlJc w:val="left"/>
      <w:pPr>
        <w:tabs>
          <w:tab w:val="left" w:pos="1680"/>
        </w:tabs>
        <w:ind w:left="1680" w:hanging="420"/>
      </w:pPr>
      <w:rPr>
        <w:rFonts w:cs="Times New Roman"/>
      </w:rPr>
    </w:lvl>
    <w:lvl w:ilvl="5" w:tentative="0">
      <w:start w:val="1"/>
      <w:numFmt w:val="lowerRoman"/>
      <w:lvlText w:val="%6."/>
      <w:lvlJc w:val="right"/>
      <w:pPr>
        <w:tabs>
          <w:tab w:val="left" w:pos="2100"/>
        </w:tabs>
        <w:ind w:left="2100" w:hanging="420"/>
      </w:pPr>
      <w:rPr>
        <w:rFonts w:cs="Times New Roman"/>
      </w:rPr>
    </w:lvl>
    <w:lvl w:ilvl="6" w:tentative="0">
      <w:start w:val="1"/>
      <w:numFmt w:val="decimal"/>
      <w:lvlText w:val="%7."/>
      <w:lvlJc w:val="left"/>
      <w:pPr>
        <w:tabs>
          <w:tab w:val="left" w:pos="2520"/>
        </w:tabs>
        <w:ind w:left="2520" w:hanging="420"/>
      </w:pPr>
      <w:rPr>
        <w:rFonts w:cs="Times New Roman"/>
      </w:rPr>
    </w:lvl>
    <w:lvl w:ilvl="7" w:tentative="0">
      <w:start w:val="1"/>
      <w:numFmt w:val="lowerLetter"/>
      <w:lvlText w:val="%8)"/>
      <w:lvlJc w:val="left"/>
      <w:pPr>
        <w:tabs>
          <w:tab w:val="left" w:pos="2940"/>
        </w:tabs>
        <w:ind w:left="2940" w:hanging="420"/>
      </w:pPr>
      <w:rPr>
        <w:rFonts w:cs="Times New Roman"/>
      </w:rPr>
    </w:lvl>
    <w:lvl w:ilvl="8" w:tentative="0">
      <w:start w:val="1"/>
      <w:numFmt w:val="lowerRoman"/>
      <w:lvlText w:val="%9."/>
      <w:lvlJc w:val="right"/>
      <w:pPr>
        <w:tabs>
          <w:tab w:val="left" w:pos="3360"/>
        </w:tabs>
        <w:ind w:left="3360" w:hanging="420"/>
      </w:pPr>
      <w:rPr>
        <w:rFonts w:cs="Times New Roman"/>
      </w:rPr>
    </w:lvl>
  </w:abstractNum>
  <w:abstractNum w:abstractNumId="45">
    <w:nsid w:val="5EBEEADD"/>
    <w:multiLevelType w:val="singleLevel"/>
    <w:tmpl w:val="5EBEEADD"/>
    <w:lvl w:ilvl="0" w:tentative="0">
      <w:start w:val="1"/>
      <w:numFmt w:val="chineseCounting"/>
      <w:suff w:val="nothing"/>
      <w:lvlText w:val="（%1）"/>
      <w:lvlJc w:val="left"/>
      <w:pPr>
        <w:ind w:left="0" w:firstLine="420"/>
      </w:pPr>
      <w:rPr>
        <w:rFonts w:hint="eastAsia"/>
      </w:rPr>
    </w:lvl>
  </w:abstractNum>
  <w:abstractNum w:abstractNumId="46">
    <w:nsid w:val="671857F2"/>
    <w:multiLevelType w:val="singleLevel"/>
    <w:tmpl w:val="671857F2"/>
    <w:lvl w:ilvl="0" w:tentative="0">
      <w:start w:val="1"/>
      <w:numFmt w:val="decimal"/>
      <w:lvlText w:val="%1."/>
      <w:lvlJc w:val="left"/>
      <w:pPr>
        <w:ind w:left="425" w:hanging="425"/>
      </w:pPr>
      <w:rPr>
        <w:rFonts w:hint="default"/>
      </w:rPr>
    </w:lvl>
  </w:abstractNum>
  <w:abstractNum w:abstractNumId="47">
    <w:nsid w:val="6B470B6A"/>
    <w:multiLevelType w:val="singleLevel"/>
    <w:tmpl w:val="6B470B6A"/>
    <w:lvl w:ilvl="0" w:tentative="0">
      <w:start w:val="1"/>
      <w:numFmt w:val="chineseCounting"/>
      <w:suff w:val="nothing"/>
      <w:lvlText w:val="（%1）"/>
      <w:lvlJc w:val="left"/>
      <w:pPr>
        <w:ind w:left="0" w:firstLine="420"/>
      </w:pPr>
      <w:rPr>
        <w:rFonts w:hint="eastAsia"/>
      </w:rPr>
    </w:lvl>
  </w:abstractNum>
  <w:abstractNum w:abstractNumId="48">
    <w:nsid w:val="6B4FEF5D"/>
    <w:multiLevelType w:val="singleLevel"/>
    <w:tmpl w:val="6B4FEF5D"/>
    <w:lvl w:ilvl="0" w:tentative="0">
      <w:start w:val="1"/>
      <w:numFmt w:val="chineseCounting"/>
      <w:suff w:val="nothing"/>
      <w:lvlText w:val="（%1）"/>
      <w:lvlJc w:val="left"/>
      <w:pPr>
        <w:ind w:left="0" w:firstLine="420"/>
      </w:pPr>
      <w:rPr>
        <w:rFonts w:hint="eastAsia"/>
      </w:rPr>
    </w:lvl>
  </w:abstractNum>
  <w:abstractNum w:abstractNumId="49">
    <w:nsid w:val="743442DA"/>
    <w:multiLevelType w:val="singleLevel"/>
    <w:tmpl w:val="743442DA"/>
    <w:lvl w:ilvl="0" w:tentative="0">
      <w:start w:val="1"/>
      <w:numFmt w:val="decimal"/>
      <w:lvlText w:val="%1."/>
      <w:lvlJc w:val="left"/>
      <w:pPr>
        <w:ind w:left="425" w:hanging="425"/>
      </w:pPr>
      <w:rPr>
        <w:rFonts w:hint="default"/>
      </w:rPr>
    </w:lvl>
  </w:abstractNum>
  <w:abstractNum w:abstractNumId="50">
    <w:nsid w:val="7BE0831C"/>
    <w:multiLevelType w:val="singleLevel"/>
    <w:tmpl w:val="7BE0831C"/>
    <w:lvl w:ilvl="0" w:tentative="0">
      <w:start w:val="1"/>
      <w:numFmt w:val="chineseCounting"/>
      <w:suff w:val="nothing"/>
      <w:lvlText w:val="%1、"/>
      <w:lvlJc w:val="left"/>
      <w:pPr>
        <w:ind w:left="0" w:firstLine="420"/>
      </w:pPr>
      <w:rPr>
        <w:rFonts w:hint="eastAsia"/>
      </w:rPr>
    </w:lvl>
  </w:abstractNum>
  <w:abstractNum w:abstractNumId="51">
    <w:nsid w:val="7CABA109"/>
    <w:multiLevelType w:val="singleLevel"/>
    <w:tmpl w:val="7CABA109"/>
    <w:lvl w:ilvl="0" w:tentative="0">
      <w:start w:val="2"/>
      <w:numFmt w:val="chineseCounting"/>
      <w:suff w:val="nothing"/>
      <w:lvlText w:val="%1、"/>
      <w:lvlJc w:val="left"/>
      <w:pPr>
        <w:ind w:left="0" w:firstLine="420"/>
      </w:pPr>
      <w:rPr>
        <w:rFonts w:hint="eastAsia"/>
      </w:rPr>
    </w:lvl>
  </w:abstractNum>
  <w:abstractNum w:abstractNumId="52">
    <w:nsid w:val="7D207E09"/>
    <w:multiLevelType w:val="multilevel"/>
    <w:tmpl w:val="7D207E09"/>
    <w:lvl w:ilvl="0" w:tentative="0">
      <w:start w:val="1"/>
      <w:numFmt w:val="decimal"/>
      <w:lvlText w:val="%1."/>
      <w:lvlJc w:val="left"/>
      <w:pPr>
        <w:tabs>
          <w:tab w:val="left" w:pos="624"/>
        </w:tabs>
        <w:ind w:left="624" w:hanging="624"/>
      </w:pPr>
      <w:rPr>
        <w:rFonts w:hint="default" w:ascii="宋体" w:hAnsi="宋体" w:eastAsia="宋体" w:cs="宋体"/>
        <w:b/>
        <w:i w:val="0"/>
      </w:rPr>
    </w:lvl>
    <w:lvl w:ilvl="1" w:tentative="0">
      <w:start w:val="1"/>
      <w:numFmt w:val="decimal"/>
      <w:lvlText w:val="%1.%2"/>
      <w:lvlJc w:val="left"/>
      <w:pPr>
        <w:tabs>
          <w:tab w:val="left" w:pos="624"/>
        </w:tabs>
        <w:ind w:left="624" w:hanging="624"/>
      </w:pPr>
      <w:rPr>
        <w:rFonts w:hint="default" w:ascii="宋体" w:hAnsi="宋体" w:eastAsia="宋体" w:cs="宋体"/>
        <w:b w:val="0"/>
        <w:i w:val="0"/>
        <w:sz w:val="24"/>
        <w:szCs w:val="24"/>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3">
    <w:nsid w:val="7D207E14"/>
    <w:multiLevelType w:val="multilevel"/>
    <w:tmpl w:val="7D207E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D207E2D"/>
    <w:multiLevelType w:val="multilevel"/>
    <w:tmpl w:val="7D207E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D662F0F"/>
    <w:multiLevelType w:val="singleLevel"/>
    <w:tmpl w:val="7D662F0F"/>
    <w:lvl w:ilvl="0" w:tentative="0">
      <w:start w:val="1"/>
      <w:numFmt w:val="decimal"/>
      <w:lvlText w:val="%1."/>
      <w:lvlJc w:val="left"/>
      <w:pPr>
        <w:ind w:left="425" w:hanging="425"/>
      </w:pPr>
      <w:rPr>
        <w:rFonts w:hint="default"/>
      </w:rPr>
    </w:lvl>
  </w:abstractNum>
  <w:num w:numId="1">
    <w:abstractNumId w:val="21"/>
  </w:num>
  <w:num w:numId="2">
    <w:abstractNumId w:val="50"/>
  </w:num>
  <w:num w:numId="3">
    <w:abstractNumId w:val="18"/>
  </w:num>
  <w:num w:numId="4">
    <w:abstractNumId w:val="51"/>
  </w:num>
  <w:num w:numId="5">
    <w:abstractNumId w:val="41"/>
  </w:num>
  <w:num w:numId="6">
    <w:abstractNumId w:val="33"/>
  </w:num>
  <w:num w:numId="7">
    <w:abstractNumId w:val="11"/>
  </w:num>
  <w:num w:numId="8">
    <w:abstractNumId w:val="37"/>
  </w:num>
  <w:num w:numId="9">
    <w:abstractNumId w:val="16"/>
  </w:num>
  <w:num w:numId="10">
    <w:abstractNumId w:val="55"/>
  </w:num>
  <w:num w:numId="11">
    <w:abstractNumId w:val="8"/>
  </w:num>
  <w:num w:numId="12">
    <w:abstractNumId w:val="32"/>
  </w:num>
  <w:num w:numId="13">
    <w:abstractNumId w:val="5"/>
  </w:num>
  <w:num w:numId="14">
    <w:abstractNumId w:val="38"/>
  </w:num>
  <w:num w:numId="15">
    <w:abstractNumId w:val="42"/>
  </w:num>
  <w:num w:numId="16">
    <w:abstractNumId w:val="23"/>
  </w:num>
  <w:num w:numId="17">
    <w:abstractNumId w:val="15"/>
  </w:num>
  <w:num w:numId="18">
    <w:abstractNumId w:val="6"/>
  </w:num>
  <w:num w:numId="19">
    <w:abstractNumId w:val="43"/>
  </w:num>
  <w:num w:numId="20">
    <w:abstractNumId w:val="49"/>
  </w:num>
  <w:num w:numId="21">
    <w:abstractNumId w:val="29"/>
  </w:num>
  <w:num w:numId="22">
    <w:abstractNumId w:val="14"/>
  </w:num>
  <w:num w:numId="23">
    <w:abstractNumId w:val="2"/>
  </w:num>
  <w:num w:numId="24">
    <w:abstractNumId w:val="31"/>
  </w:num>
  <w:num w:numId="25">
    <w:abstractNumId w:val="27"/>
  </w:num>
  <w:num w:numId="26">
    <w:abstractNumId w:val="20"/>
  </w:num>
  <w:num w:numId="27">
    <w:abstractNumId w:val="24"/>
  </w:num>
  <w:num w:numId="28">
    <w:abstractNumId w:val="19"/>
  </w:num>
  <w:num w:numId="29">
    <w:abstractNumId w:val="34"/>
  </w:num>
  <w:num w:numId="30">
    <w:abstractNumId w:val="12"/>
  </w:num>
  <w:num w:numId="31">
    <w:abstractNumId w:val="52"/>
  </w:num>
  <w:num w:numId="32">
    <w:abstractNumId w:val="17"/>
  </w:num>
  <w:num w:numId="33">
    <w:abstractNumId w:val="35"/>
  </w:num>
  <w:num w:numId="34">
    <w:abstractNumId w:val="39"/>
  </w:num>
  <w:num w:numId="35">
    <w:abstractNumId w:val="9"/>
  </w:num>
  <w:num w:numId="36">
    <w:abstractNumId w:val="40"/>
  </w:num>
  <w:num w:numId="37">
    <w:abstractNumId w:val="48"/>
  </w:num>
  <w:num w:numId="38">
    <w:abstractNumId w:val="7"/>
  </w:num>
  <w:num w:numId="39">
    <w:abstractNumId w:val="45"/>
  </w:num>
  <w:num w:numId="40">
    <w:abstractNumId w:val="47"/>
  </w:num>
  <w:num w:numId="41">
    <w:abstractNumId w:val="4"/>
  </w:num>
  <w:num w:numId="42">
    <w:abstractNumId w:val="1"/>
  </w:num>
  <w:num w:numId="43">
    <w:abstractNumId w:val="13"/>
  </w:num>
  <w:num w:numId="44">
    <w:abstractNumId w:val="36"/>
  </w:num>
  <w:num w:numId="45">
    <w:abstractNumId w:val="3"/>
  </w:num>
  <w:num w:numId="46">
    <w:abstractNumId w:val="28"/>
  </w:num>
  <w:num w:numId="47">
    <w:abstractNumId w:val="26"/>
  </w:num>
  <w:num w:numId="48">
    <w:abstractNumId w:val="0"/>
  </w:num>
  <w:num w:numId="49">
    <w:abstractNumId w:val="10"/>
  </w:num>
  <w:num w:numId="50">
    <w:abstractNumId w:val="46"/>
  </w:num>
  <w:num w:numId="51">
    <w:abstractNumId w:val="30"/>
  </w:num>
  <w:num w:numId="52">
    <w:abstractNumId w:val="25"/>
  </w:num>
  <w:num w:numId="53">
    <w:abstractNumId w:val="22"/>
  </w:num>
  <w:num w:numId="54">
    <w:abstractNumId w:val="53"/>
  </w:num>
  <w:num w:numId="55">
    <w:abstractNumId w:val="54"/>
  </w:num>
  <w:num w:numId="5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MGRlYmFhMDY4ZGFlY2M5MDRlY2I2ZGEwNGJhYzgifQ=="/>
  </w:docVars>
  <w:rsids>
    <w:rsidRoot w:val="11E72552"/>
    <w:rsid w:val="006B43D9"/>
    <w:rsid w:val="00AE65C6"/>
    <w:rsid w:val="00EC3250"/>
    <w:rsid w:val="00ED3CE4"/>
    <w:rsid w:val="015843AC"/>
    <w:rsid w:val="02083BFD"/>
    <w:rsid w:val="02414958"/>
    <w:rsid w:val="03A21007"/>
    <w:rsid w:val="03B37031"/>
    <w:rsid w:val="04423799"/>
    <w:rsid w:val="04714B20"/>
    <w:rsid w:val="053975EE"/>
    <w:rsid w:val="06BD229F"/>
    <w:rsid w:val="071224BF"/>
    <w:rsid w:val="074C7075"/>
    <w:rsid w:val="078D7EC3"/>
    <w:rsid w:val="07D000B4"/>
    <w:rsid w:val="07DE04BD"/>
    <w:rsid w:val="08523894"/>
    <w:rsid w:val="08C416C3"/>
    <w:rsid w:val="08FC6826"/>
    <w:rsid w:val="091268D2"/>
    <w:rsid w:val="09453F67"/>
    <w:rsid w:val="094C1CE0"/>
    <w:rsid w:val="0A587545"/>
    <w:rsid w:val="0A627034"/>
    <w:rsid w:val="0A6833CF"/>
    <w:rsid w:val="0B4D45A7"/>
    <w:rsid w:val="0B595C8F"/>
    <w:rsid w:val="0BD339A2"/>
    <w:rsid w:val="0C2268BC"/>
    <w:rsid w:val="0C913FB2"/>
    <w:rsid w:val="0CA21D1B"/>
    <w:rsid w:val="0D9D3660"/>
    <w:rsid w:val="0DE10621"/>
    <w:rsid w:val="0E0E7A2B"/>
    <w:rsid w:val="0E324371"/>
    <w:rsid w:val="0E7F0ABA"/>
    <w:rsid w:val="0EF85E12"/>
    <w:rsid w:val="0F4611B0"/>
    <w:rsid w:val="0FB06655"/>
    <w:rsid w:val="0FEF6374"/>
    <w:rsid w:val="10EF163D"/>
    <w:rsid w:val="11B511EB"/>
    <w:rsid w:val="11C47376"/>
    <w:rsid w:val="11E72552"/>
    <w:rsid w:val="127B43F7"/>
    <w:rsid w:val="12900868"/>
    <w:rsid w:val="1299596E"/>
    <w:rsid w:val="12D21FC6"/>
    <w:rsid w:val="12FA450A"/>
    <w:rsid w:val="13107E1F"/>
    <w:rsid w:val="13B50586"/>
    <w:rsid w:val="14AB4DE7"/>
    <w:rsid w:val="14C40BA3"/>
    <w:rsid w:val="14DD05D4"/>
    <w:rsid w:val="14EC6AE9"/>
    <w:rsid w:val="14F05D28"/>
    <w:rsid w:val="16C10B69"/>
    <w:rsid w:val="17467F9B"/>
    <w:rsid w:val="182201B4"/>
    <w:rsid w:val="18552E42"/>
    <w:rsid w:val="185F2A28"/>
    <w:rsid w:val="1860735B"/>
    <w:rsid w:val="19755B64"/>
    <w:rsid w:val="19AE7E3F"/>
    <w:rsid w:val="19E85173"/>
    <w:rsid w:val="1AC71EA6"/>
    <w:rsid w:val="1AF81D29"/>
    <w:rsid w:val="1AFF1443"/>
    <w:rsid w:val="1B016238"/>
    <w:rsid w:val="1B3A1DDF"/>
    <w:rsid w:val="1C8F0461"/>
    <w:rsid w:val="1D3D1785"/>
    <w:rsid w:val="1DC414DB"/>
    <w:rsid w:val="1E71299B"/>
    <w:rsid w:val="1E823209"/>
    <w:rsid w:val="1EB12BED"/>
    <w:rsid w:val="1EC14360"/>
    <w:rsid w:val="1ECC21F6"/>
    <w:rsid w:val="1F6B74E6"/>
    <w:rsid w:val="1F8F25D3"/>
    <w:rsid w:val="1FE6720D"/>
    <w:rsid w:val="201565D8"/>
    <w:rsid w:val="201A4329"/>
    <w:rsid w:val="20803D07"/>
    <w:rsid w:val="209B4FA7"/>
    <w:rsid w:val="20CE518C"/>
    <w:rsid w:val="20F75C67"/>
    <w:rsid w:val="212213DB"/>
    <w:rsid w:val="214F1B3C"/>
    <w:rsid w:val="219519F6"/>
    <w:rsid w:val="22E870F2"/>
    <w:rsid w:val="22F664C5"/>
    <w:rsid w:val="23353491"/>
    <w:rsid w:val="235E2C87"/>
    <w:rsid w:val="23874FA9"/>
    <w:rsid w:val="23C0442C"/>
    <w:rsid w:val="2423153B"/>
    <w:rsid w:val="267E5EAB"/>
    <w:rsid w:val="26F42199"/>
    <w:rsid w:val="2705317A"/>
    <w:rsid w:val="272A62C8"/>
    <w:rsid w:val="276808A7"/>
    <w:rsid w:val="276E3AFD"/>
    <w:rsid w:val="277D5407"/>
    <w:rsid w:val="27CE7A10"/>
    <w:rsid w:val="28384C03"/>
    <w:rsid w:val="28487BD0"/>
    <w:rsid w:val="28D8007D"/>
    <w:rsid w:val="2913457E"/>
    <w:rsid w:val="29CD2B92"/>
    <w:rsid w:val="2A000270"/>
    <w:rsid w:val="2AA01437"/>
    <w:rsid w:val="2AD10FC0"/>
    <w:rsid w:val="2B100330"/>
    <w:rsid w:val="2B73700C"/>
    <w:rsid w:val="2B8C6B3F"/>
    <w:rsid w:val="2BF21021"/>
    <w:rsid w:val="2C1F074F"/>
    <w:rsid w:val="2C321CD1"/>
    <w:rsid w:val="2C3B3233"/>
    <w:rsid w:val="2C411435"/>
    <w:rsid w:val="2C693D5E"/>
    <w:rsid w:val="2C7B2207"/>
    <w:rsid w:val="2CCD4D91"/>
    <w:rsid w:val="2D8A564D"/>
    <w:rsid w:val="2DDE3BAC"/>
    <w:rsid w:val="2F086852"/>
    <w:rsid w:val="2FDA6C3E"/>
    <w:rsid w:val="30D815BD"/>
    <w:rsid w:val="312E26B1"/>
    <w:rsid w:val="313D7A21"/>
    <w:rsid w:val="31A1312E"/>
    <w:rsid w:val="31E6583E"/>
    <w:rsid w:val="33243B49"/>
    <w:rsid w:val="333C57B1"/>
    <w:rsid w:val="33D82969"/>
    <w:rsid w:val="34635034"/>
    <w:rsid w:val="34AF5971"/>
    <w:rsid w:val="35233328"/>
    <w:rsid w:val="35492DCC"/>
    <w:rsid w:val="359350A8"/>
    <w:rsid w:val="35B16516"/>
    <w:rsid w:val="36272220"/>
    <w:rsid w:val="3872757A"/>
    <w:rsid w:val="38991974"/>
    <w:rsid w:val="38AE18BD"/>
    <w:rsid w:val="38BC22B3"/>
    <w:rsid w:val="38EA217A"/>
    <w:rsid w:val="38FF3EEB"/>
    <w:rsid w:val="39671A73"/>
    <w:rsid w:val="39CB0253"/>
    <w:rsid w:val="3A2C5DDB"/>
    <w:rsid w:val="3AD332D3"/>
    <w:rsid w:val="3AFA7F9B"/>
    <w:rsid w:val="3B1A3241"/>
    <w:rsid w:val="3BDC0D38"/>
    <w:rsid w:val="3C3A33FB"/>
    <w:rsid w:val="3DE17041"/>
    <w:rsid w:val="3E495CDD"/>
    <w:rsid w:val="3FB1195F"/>
    <w:rsid w:val="3FC65D6C"/>
    <w:rsid w:val="405D57D3"/>
    <w:rsid w:val="40AD4F36"/>
    <w:rsid w:val="40CF6725"/>
    <w:rsid w:val="4110479E"/>
    <w:rsid w:val="41AD075A"/>
    <w:rsid w:val="41AF35A9"/>
    <w:rsid w:val="422F28D9"/>
    <w:rsid w:val="42D55C9F"/>
    <w:rsid w:val="438B1580"/>
    <w:rsid w:val="43AC1157"/>
    <w:rsid w:val="43D23F8D"/>
    <w:rsid w:val="43F32881"/>
    <w:rsid w:val="442454D0"/>
    <w:rsid w:val="4456696C"/>
    <w:rsid w:val="44D02BC2"/>
    <w:rsid w:val="44D53D34"/>
    <w:rsid w:val="45634D66"/>
    <w:rsid w:val="45B64921"/>
    <w:rsid w:val="463B1E29"/>
    <w:rsid w:val="47BB4A40"/>
    <w:rsid w:val="47E12E91"/>
    <w:rsid w:val="480C61BA"/>
    <w:rsid w:val="48CD1D17"/>
    <w:rsid w:val="49C262A2"/>
    <w:rsid w:val="49D337FD"/>
    <w:rsid w:val="49F96E81"/>
    <w:rsid w:val="4A1573B8"/>
    <w:rsid w:val="4B341CCE"/>
    <w:rsid w:val="4B980FFD"/>
    <w:rsid w:val="4BA72510"/>
    <w:rsid w:val="4C407627"/>
    <w:rsid w:val="4D3315D8"/>
    <w:rsid w:val="4DCE1C69"/>
    <w:rsid w:val="4E1619F8"/>
    <w:rsid w:val="4E1F1629"/>
    <w:rsid w:val="4E3751B8"/>
    <w:rsid w:val="4EC372F3"/>
    <w:rsid w:val="4EC51196"/>
    <w:rsid w:val="4EC52981"/>
    <w:rsid w:val="4F467383"/>
    <w:rsid w:val="4F7E3822"/>
    <w:rsid w:val="50B5705D"/>
    <w:rsid w:val="51B8087A"/>
    <w:rsid w:val="520018B5"/>
    <w:rsid w:val="52191360"/>
    <w:rsid w:val="523D5DD0"/>
    <w:rsid w:val="532349C0"/>
    <w:rsid w:val="53731601"/>
    <w:rsid w:val="53774AC0"/>
    <w:rsid w:val="53811B3A"/>
    <w:rsid w:val="53ED725D"/>
    <w:rsid w:val="54763165"/>
    <w:rsid w:val="54AC78C8"/>
    <w:rsid w:val="551E34D6"/>
    <w:rsid w:val="55E22B38"/>
    <w:rsid w:val="56180A25"/>
    <w:rsid w:val="56F751A3"/>
    <w:rsid w:val="573174F0"/>
    <w:rsid w:val="57697F72"/>
    <w:rsid w:val="576C677A"/>
    <w:rsid w:val="577D22B9"/>
    <w:rsid w:val="57886286"/>
    <w:rsid w:val="5826529A"/>
    <w:rsid w:val="58F93D32"/>
    <w:rsid w:val="59617E35"/>
    <w:rsid w:val="59DB5C30"/>
    <w:rsid w:val="5A2F35C8"/>
    <w:rsid w:val="5A7E6940"/>
    <w:rsid w:val="5AA817C4"/>
    <w:rsid w:val="5AFE6240"/>
    <w:rsid w:val="5B1868E7"/>
    <w:rsid w:val="5BD92403"/>
    <w:rsid w:val="5C56525A"/>
    <w:rsid w:val="5D4E5740"/>
    <w:rsid w:val="5DD13A6C"/>
    <w:rsid w:val="5E065686"/>
    <w:rsid w:val="5E4C7B6F"/>
    <w:rsid w:val="5E850647"/>
    <w:rsid w:val="5E9422A5"/>
    <w:rsid w:val="5E984194"/>
    <w:rsid w:val="5EB42BD6"/>
    <w:rsid w:val="5EBE09FF"/>
    <w:rsid w:val="5F3538F6"/>
    <w:rsid w:val="5FB17821"/>
    <w:rsid w:val="5FE84E0C"/>
    <w:rsid w:val="6091419F"/>
    <w:rsid w:val="60963B2E"/>
    <w:rsid w:val="609B00E6"/>
    <w:rsid w:val="6118702B"/>
    <w:rsid w:val="624913A5"/>
    <w:rsid w:val="624A3B5C"/>
    <w:rsid w:val="62E07E5B"/>
    <w:rsid w:val="63640C4D"/>
    <w:rsid w:val="63A60F6F"/>
    <w:rsid w:val="64E22594"/>
    <w:rsid w:val="64FF03D2"/>
    <w:rsid w:val="653417D4"/>
    <w:rsid w:val="663D0E6A"/>
    <w:rsid w:val="669F2D91"/>
    <w:rsid w:val="685C5429"/>
    <w:rsid w:val="68FC264B"/>
    <w:rsid w:val="6A247652"/>
    <w:rsid w:val="6A664983"/>
    <w:rsid w:val="6AD20049"/>
    <w:rsid w:val="6B060B84"/>
    <w:rsid w:val="6B5567E2"/>
    <w:rsid w:val="6B7639AE"/>
    <w:rsid w:val="6C206903"/>
    <w:rsid w:val="6C845220"/>
    <w:rsid w:val="6C9A2A2E"/>
    <w:rsid w:val="6CB35813"/>
    <w:rsid w:val="6D7101EF"/>
    <w:rsid w:val="6DB75E64"/>
    <w:rsid w:val="6EE606DE"/>
    <w:rsid w:val="6F3864FC"/>
    <w:rsid w:val="6F5D497B"/>
    <w:rsid w:val="70C04FE9"/>
    <w:rsid w:val="70F869CD"/>
    <w:rsid w:val="70FA04FB"/>
    <w:rsid w:val="72465B88"/>
    <w:rsid w:val="725974A3"/>
    <w:rsid w:val="72651420"/>
    <w:rsid w:val="72CC4119"/>
    <w:rsid w:val="743D6361"/>
    <w:rsid w:val="74601C18"/>
    <w:rsid w:val="748F58E9"/>
    <w:rsid w:val="759A5549"/>
    <w:rsid w:val="75B644B6"/>
    <w:rsid w:val="75F62549"/>
    <w:rsid w:val="76197675"/>
    <w:rsid w:val="764C4872"/>
    <w:rsid w:val="77525111"/>
    <w:rsid w:val="77694926"/>
    <w:rsid w:val="77933457"/>
    <w:rsid w:val="794D45CF"/>
    <w:rsid w:val="79AD4310"/>
    <w:rsid w:val="7AAA75E8"/>
    <w:rsid w:val="7B215454"/>
    <w:rsid w:val="7BDE442C"/>
    <w:rsid w:val="7E0C40B3"/>
    <w:rsid w:val="7E6E42D6"/>
    <w:rsid w:val="7E760E2D"/>
    <w:rsid w:val="7F052E8D"/>
    <w:rsid w:val="7FBE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after="330" w:afterLines="0" w:line="576" w:lineRule="auto"/>
      <w:outlineLvl w:val="0"/>
    </w:pPr>
    <w:rPr>
      <w:kern w:val="44"/>
      <w:sz w:val="44"/>
      <w:szCs w:val="44"/>
    </w:rPr>
  </w:style>
  <w:style w:type="paragraph" w:styleId="4">
    <w:name w:val="heading 2"/>
    <w:basedOn w:val="1"/>
    <w:next w:val="1"/>
    <w:autoRedefine/>
    <w:qFormat/>
    <w:uiPriority w:val="0"/>
    <w:pPr>
      <w:keepNext/>
      <w:keepLines/>
      <w:numPr>
        <w:ilvl w:val="1"/>
        <w:numId w:val="1"/>
      </w:numPr>
      <w:adjustRightInd w:val="0"/>
      <w:spacing w:before="260" w:beforeLines="0" w:after="260" w:afterLines="0" w:line="416" w:lineRule="atLeast"/>
      <w:textAlignment w:val="baseline"/>
      <w:outlineLvl w:val="1"/>
    </w:pPr>
    <w:rPr>
      <w:rFonts w:ascii="Arial" w:hAnsi="Arial" w:eastAsia="黑体"/>
      <w:b/>
      <w:kern w:val="0"/>
      <w:sz w:val="32"/>
      <w:szCs w:val="20"/>
    </w:rPr>
  </w:style>
  <w:style w:type="paragraph" w:styleId="5">
    <w:name w:val="heading 3"/>
    <w:basedOn w:val="1"/>
    <w:next w:val="1"/>
    <w:autoRedefine/>
    <w:qFormat/>
    <w:uiPriority w:val="0"/>
    <w:pPr>
      <w:keepNext/>
      <w:keepLines/>
      <w:spacing w:before="260" w:after="260" w:line="412" w:lineRule="auto"/>
      <w:outlineLvl w:val="2"/>
    </w:pPr>
    <w:rPr>
      <w:b/>
      <w:sz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6">
    <w:name w:val="Normal Indent"/>
    <w:basedOn w:val="1"/>
    <w:next w:val="1"/>
    <w:autoRedefine/>
    <w:qFormat/>
    <w:uiPriority w:val="0"/>
    <w:pPr>
      <w:widowControl/>
      <w:ind w:firstLine="420" w:firstLineChars="200"/>
      <w:jc w:val="left"/>
    </w:pPr>
    <w:rPr>
      <w:kern w:val="0"/>
      <w:sz w:val="20"/>
      <w:szCs w:val="20"/>
    </w:rPr>
  </w:style>
  <w:style w:type="paragraph" w:styleId="7">
    <w:name w:val="annotation text"/>
    <w:basedOn w:val="1"/>
    <w:autoRedefine/>
    <w:unhideWhenUsed/>
    <w:qFormat/>
    <w:uiPriority w:val="99"/>
    <w:pPr>
      <w:jc w:val="left"/>
    </w:pPr>
    <w:rPr>
      <w:rFonts w:ascii="Times New Roman" w:hAnsi="Times New Roman"/>
      <w:szCs w:val="24"/>
    </w:rPr>
  </w:style>
  <w:style w:type="paragraph" w:styleId="8">
    <w:name w:val="Body Text 3"/>
    <w:basedOn w:val="1"/>
    <w:autoRedefine/>
    <w:qFormat/>
    <w:uiPriority w:val="0"/>
    <w:pPr>
      <w:spacing w:after="120"/>
    </w:pPr>
    <w:rPr>
      <w:sz w:val="16"/>
      <w:szCs w:val="16"/>
    </w:rPr>
  </w:style>
  <w:style w:type="paragraph" w:styleId="9">
    <w:name w:val="Body Text Indent"/>
    <w:basedOn w:val="1"/>
    <w:next w:val="10"/>
    <w:autoRedefine/>
    <w:unhideWhenUsed/>
    <w:qFormat/>
    <w:uiPriority w:val="0"/>
    <w:pPr>
      <w:spacing w:after="120"/>
      <w:ind w:left="420"/>
    </w:pPr>
  </w:style>
  <w:style w:type="paragraph" w:styleId="10">
    <w:name w:val="envelope return"/>
    <w:basedOn w:val="1"/>
    <w:autoRedefine/>
    <w:unhideWhenUsed/>
    <w:qFormat/>
    <w:uiPriority w:val="99"/>
    <w:pPr>
      <w:snapToGrid w:val="0"/>
    </w:pPr>
    <w:rPr>
      <w:rFonts w:ascii="Arial" w:hAnsi="Arial"/>
    </w:rPr>
  </w:style>
  <w:style w:type="paragraph" w:styleId="11">
    <w:name w:val="toc 3"/>
    <w:basedOn w:val="1"/>
    <w:next w:val="1"/>
    <w:autoRedefine/>
    <w:qFormat/>
    <w:uiPriority w:val="0"/>
    <w:pPr>
      <w:ind w:left="840" w:leftChars="400"/>
    </w:pPr>
  </w:style>
  <w:style w:type="paragraph" w:styleId="12">
    <w:name w:val="Plain Text"/>
    <w:basedOn w:val="1"/>
    <w:next w:val="1"/>
    <w:autoRedefine/>
    <w:qFormat/>
    <w:uiPriority w:val="0"/>
    <w:rPr>
      <w:rFonts w:ascii="宋体" w:hAnsi="Courier New"/>
      <w:szCs w:val="20"/>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pPr>
      <w:spacing w:before="120" w:after="120"/>
      <w:jc w:val="left"/>
    </w:pPr>
    <w:rPr>
      <w:b/>
      <w:bCs/>
      <w:caps/>
      <w:sz w:val="20"/>
      <w:szCs w:val="20"/>
    </w:rPr>
  </w:style>
  <w:style w:type="paragraph" w:styleId="16">
    <w:name w:val="toc 2"/>
    <w:basedOn w:val="1"/>
    <w:next w:val="1"/>
    <w:autoRedefine/>
    <w:qFormat/>
    <w:uiPriority w:val="0"/>
    <w:pPr>
      <w:ind w:left="420" w:leftChars="200"/>
    </w:pPr>
  </w:style>
  <w:style w:type="paragraph" w:styleId="17">
    <w:name w:val="Body Text First Indent"/>
    <w:basedOn w:val="1"/>
    <w:autoRedefine/>
    <w:qFormat/>
    <w:uiPriority w:val="0"/>
    <w:pPr>
      <w:tabs>
        <w:tab w:val="left" w:pos="420"/>
        <w:tab w:val="left" w:pos="720"/>
      </w:tabs>
      <w:ind w:firstLine="560" w:firstLineChars="200"/>
      <w:jc w:val="left"/>
    </w:pPr>
    <w:rPr>
      <w:rFonts w:ascii="Arial" w:hAnsi="Arial"/>
    </w:rPr>
  </w:style>
  <w:style w:type="paragraph" w:styleId="18">
    <w:name w:val="Body Text First Indent 2"/>
    <w:basedOn w:val="9"/>
    <w:autoRedefine/>
    <w:unhideWhenUsed/>
    <w:qFormat/>
    <w:uiPriority w:val="99"/>
    <w:pPr>
      <w:ind w:firstLine="420"/>
    </w:pPr>
    <w:rPr>
      <w:rFonts w:ascii="Times New Roman" w:hAnsi="Times New Roman"/>
      <w:szCs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autoRedefine/>
    <w:qFormat/>
    <w:uiPriority w:val="0"/>
    <w:rPr>
      <w:rFonts w:cs="Times New Roman"/>
    </w:rPr>
  </w:style>
  <w:style w:type="character" w:styleId="23">
    <w:name w:val="Hyperlink"/>
    <w:autoRedefine/>
    <w:qFormat/>
    <w:uiPriority w:val="0"/>
    <w:rPr>
      <w:rFonts w:cs="Times New Roman"/>
      <w:color w:val="0000FF"/>
      <w:u w:val="single"/>
    </w:rPr>
  </w:style>
  <w:style w:type="paragraph" w:styleId="24">
    <w:name w:val="List Paragraph"/>
    <w:basedOn w:val="1"/>
    <w:autoRedefine/>
    <w:qFormat/>
    <w:uiPriority w:val="34"/>
    <w:pPr>
      <w:ind w:firstLine="420" w:firstLineChars="200"/>
    </w:pPr>
  </w:style>
  <w:style w:type="paragraph" w:customStyle="1" w:styleId="2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图"/>
    <w:basedOn w:val="1"/>
    <w:autoRedefine/>
    <w:qFormat/>
    <w:uiPriority w:val="0"/>
    <w:pPr>
      <w:keepNext/>
      <w:adjustRightInd w:val="0"/>
      <w:spacing w:before="60" w:after="60" w:line="300" w:lineRule="auto"/>
      <w:jc w:val="center"/>
      <w:textAlignment w:val="center"/>
    </w:pPr>
    <w:rPr>
      <w:spacing w:val="20"/>
      <w:kern w:val="0"/>
      <w:sz w:val="24"/>
      <w:szCs w:val="20"/>
    </w:rPr>
  </w:style>
  <w:style w:type="paragraph" w:customStyle="1" w:styleId="27">
    <w:name w:val="正文_39_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8">
    <w:name w:val="要点_1"/>
    <w:autoRedefine/>
    <w:qFormat/>
    <w:uiPriority w:val="22"/>
    <w:rPr>
      <w:b/>
      <w:bCs/>
    </w:rPr>
  </w:style>
  <w:style w:type="paragraph" w:customStyle="1" w:styleId="29">
    <w:name w:val="正文_4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48"/>
    <w:autoRedefine/>
    <w:qFormat/>
    <w:uiPriority w:val="0"/>
    <w:pPr>
      <w:widowControl w:val="0"/>
      <w:jc w:val="both"/>
    </w:pPr>
    <w:rPr>
      <w:rFonts w:ascii="Times New Roman" w:hAnsi="Times New Roman" w:eastAsia="宋体" w:cs="Times New Roman"/>
      <w:kern w:val="2"/>
      <w:sz w:val="21"/>
      <w:szCs w:val="24"/>
      <w:lang w:bidi="ar-SA"/>
    </w:rPr>
  </w:style>
  <w:style w:type="character" w:customStyle="1" w:styleId="31">
    <w:name w:val="font21"/>
    <w:basedOn w:val="21"/>
    <w:autoRedefine/>
    <w:qFormat/>
    <w:uiPriority w:val="0"/>
    <w:rPr>
      <w:rFonts w:hint="eastAsia" w:ascii="宋体" w:hAnsi="宋体" w:eastAsia="宋体" w:cs="宋体"/>
      <w:color w:val="000000"/>
      <w:sz w:val="22"/>
      <w:szCs w:val="22"/>
      <w:u w:val="none"/>
    </w:rPr>
  </w:style>
  <w:style w:type="character" w:customStyle="1" w:styleId="32">
    <w:name w:val="font01"/>
    <w:basedOn w:val="21"/>
    <w:autoRedefine/>
    <w:qFormat/>
    <w:uiPriority w:val="0"/>
    <w:rPr>
      <w:rFonts w:ascii="Tahoma" w:hAnsi="Tahoma" w:eastAsia="Tahoma" w:cs="Tahoma"/>
      <w:color w:val="000000"/>
      <w:sz w:val="22"/>
      <w:szCs w:val="22"/>
      <w:u w:val="none"/>
    </w:rPr>
  </w:style>
  <w:style w:type="paragraph" w:customStyle="1" w:styleId="3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_5_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正文_4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4_8"/>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7">
    <w:name w:val="Intense Reference"/>
    <w:autoRedefine/>
    <w:qFormat/>
    <w:uiPriority w:val="32"/>
    <w:rPr>
      <w:b/>
      <w:bCs/>
      <w:smallCaps/>
      <w:color w:val="5B9BD5"/>
      <w:spacing w:val="5"/>
    </w:rPr>
  </w:style>
  <w:style w:type="paragraph" w:customStyle="1" w:styleId="38">
    <w:name w:val="正文_3_1_0"/>
    <w:autoRedefine/>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39">
    <w:name w:val="正文_8_1_0"/>
    <w:autoRedefine/>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0">
    <w:name w:val="正文_8_1"/>
    <w:autoRedefine/>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1">
    <w:name w:val="Normal_0_3"/>
    <w:autoRedefine/>
    <w:qFormat/>
    <w:uiPriority w:val="0"/>
    <w:rPr>
      <w:rFonts w:ascii="黑体" w:hAnsi="黑体" w:eastAsia="黑体" w:cs="Times New Roman"/>
      <w:b/>
      <w:sz w:val="32"/>
      <w:szCs w:val="24"/>
      <w:lang w:bidi="ar-SA"/>
    </w:rPr>
  </w:style>
  <w:style w:type="paragraph" w:customStyle="1" w:styleId="42">
    <w:name w:val="Normal_1_4"/>
    <w:autoRedefine/>
    <w:qFormat/>
    <w:uiPriority w:val="0"/>
    <w:pPr>
      <w:widowControl w:val="0"/>
      <w:jc w:val="both"/>
    </w:pPr>
    <w:rPr>
      <w:rFonts w:ascii="Times New Roman" w:hAnsi="Times New Roman" w:eastAsia="宋体" w:cs="Times New Roman"/>
      <w:kern w:val="2"/>
      <w:sz w:val="21"/>
      <w:szCs w:val="22"/>
      <w:lang w:bidi="ar-SA"/>
    </w:rPr>
  </w:style>
  <w:style w:type="paragraph" w:customStyle="1" w:styleId="43">
    <w:name w:val="正文_25_1"/>
    <w:autoRedefine/>
    <w:qFormat/>
    <w:uiPriority w:val="0"/>
    <w:pPr>
      <w:widowControl w:val="0"/>
      <w:jc w:val="both"/>
    </w:pPr>
    <w:rPr>
      <w:rFonts w:ascii="Times New Roman" w:hAnsi="Times New Roman" w:eastAsia="宋体" w:cs="Times New Roman"/>
      <w:color w:val="0000FF"/>
      <w:kern w:val="2"/>
      <w:sz w:val="24"/>
      <w:szCs w:val="24"/>
      <w:lang w:bidi="ar-SA"/>
    </w:rPr>
  </w:style>
  <w:style w:type="paragraph" w:customStyle="1" w:styleId="44">
    <w:name w:val="Normal_2_1"/>
    <w:autoRedefine/>
    <w:qFormat/>
    <w:uiPriority w:val="0"/>
    <w:rPr>
      <w:rFonts w:ascii="黑体" w:hAnsi="黑体" w:eastAsia="黑体" w:cs="Times New Roman"/>
      <w:b/>
      <w:sz w:val="32"/>
      <w:szCs w:val="24"/>
      <w:lang w:bidi="ar-SA"/>
    </w:rPr>
  </w:style>
  <w:style w:type="paragraph" w:customStyle="1" w:styleId="45">
    <w:name w:val="Normal_25_0"/>
    <w:autoRedefine/>
    <w:qFormat/>
    <w:uiPriority w:val="0"/>
    <w:rPr>
      <w:rFonts w:ascii="黑体" w:hAnsi="黑体" w:eastAsia="黑体" w:cs="Times New Roman"/>
      <w:b/>
      <w:sz w:val="32"/>
      <w:szCs w:val="24"/>
      <w:lang w:bidi="ar-SA"/>
    </w:rPr>
  </w:style>
  <w:style w:type="paragraph" w:customStyle="1" w:styleId="46">
    <w:name w:val="正文_22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正文_16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_22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31_1"/>
    <w:autoRedefine/>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0">
    <w:name w:val="NormalIndent"/>
    <w:basedOn w:val="1"/>
    <w:autoRedefine/>
    <w:qFormat/>
    <w:uiPriority w:val="0"/>
    <w:pPr>
      <w:ind w:firstLine="200" w:firstLineChars="200"/>
      <w:jc w:val="both"/>
    </w:pPr>
    <w:rPr>
      <w:rFonts w:eastAsia="等线"/>
      <w:kern w:val="2"/>
      <w:szCs w:val="21"/>
    </w:rPr>
  </w:style>
  <w:style w:type="paragraph" w:customStyle="1" w:styleId="51">
    <w:name w:val="Other|1"/>
    <w:basedOn w:val="1"/>
    <w:autoRedefine/>
    <w:qFormat/>
    <w:uiPriority w:val="0"/>
    <w:pPr>
      <w:widowControl w:val="0"/>
      <w:shd w:val="clear" w:color="auto" w:fill="auto"/>
      <w:spacing w:line="312" w:lineRule="exact"/>
    </w:pPr>
    <w:rPr>
      <w:rFonts w:ascii="宋体" w:hAnsi="宋体" w:eastAsia="宋体" w:cs="宋体"/>
      <w:sz w:val="20"/>
      <w:szCs w:val="20"/>
      <w:u w:val="none"/>
      <w:shd w:val="clear" w:color="auto" w:fill="auto"/>
      <w:lang w:val="zh-TW" w:eastAsia="zh-TW" w:bidi="zh-TW"/>
    </w:rPr>
  </w:style>
  <w:style w:type="paragraph" w:customStyle="1" w:styleId="52">
    <w:name w:val="Plain Text1"/>
    <w:basedOn w:val="1"/>
    <w:autoRedefine/>
    <w:qFormat/>
    <w:uiPriority w:val="0"/>
    <w:rPr>
      <w:rFonts w:ascii="宋体" w:hAnsi="Courier New" w:cs="Courier New"/>
      <w:szCs w:val="21"/>
    </w:rPr>
  </w:style>
  <w:style w:type="paragraph" w:customStyle="1" w:styleId="53">
    <w:name w:val="Default"/>
    <w:basedOn w:val="54"/>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54">
    <w:name w:val="正文_2"/>
    <w:next w:val="5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Plain Text2"/>
    <w:basedOn w:val="56"/>
    <w:autoRedefine/>
    <w:qFormat/>
    <w:uiPriority w:val="0"/>
    <w:rPr>
      <w:rFonts w:ascii="宋体" w:hAnsi="Courier New" w:cs="Courier New"/>
      <w:szCs w:val="21"/>
    </w:rPr>
  </w:style>
  <w:style w:type="paragraph" w:customStyle="1" w:styleId="56">
    <w:name w:val="正文_1_0_0"/>
    <w:basedOn w:val="57"/>
    <w:next w:val="55"/>
    <w:autoRedefine/>
    <w:qFormat/>
    <w:uiPriority w:val="0"/>
  </w:style>
  <w:style w:type="paragraph" w:customStyle="1" w:styleId="57">
    <w:name w:val="正文_1_0"/>
    <w:basedOn w:val="58"/>
    <w:next w:val="55"/>
    <w:autoRedefine/>
    <w:qFormat/>
    <w:uiPriority w:val="0"/>
    <w:rPr>
      <w:rFonts w:cs="Times New Roman"/>
      <w:szCs w:val="22"/>
    </w:rPr>
  </w:style>
  <w:style w:type="paragraph" w:customStyle="1" w:styleId="58">
    <w:name w:val="正文_1"/>
    <w:next w:val="5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font141"/>
    <w:basedOn w:val="21"/>
    <w:autoRedefine/>
    <w:qFormat/>
    <w:uiPriority w:val="0"/>
    <w:rPr>
      <w:rFonts w:hint="eastAsia" w:ascii="微软雅黑" w:hAnsi="微软雅黑" w:eastAsia="微软雅黑" w:cs="微软雅黑"/>
      <w:b/>
      <w:bCs/>
      <w:color w:val="FF0000"/>
      <w:sz w:val="18"/>
      <w:szCs w:val="18"/>
      <w:u w:val="none"/>
    </w:rPr>
  </w:style>
  <w:style w:type="character" w:customStyle="1" w:styleId="60">
    <w:name w:val="font161"/>
    <w:basedOn w:val="21"/>
    <w:autoRedefine/>
    <w:qFormat/>
    <w:uiPriority w:val="0"/>
    <w:rPr>
      <w:rFonts w:hint="eastAsia" w:ascii="微软雅黑" w:hAnsi="微软雅黑" w:eastAsia="微软雅黑" w:cs="微软雅黑"/>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37100</Words>
  <Characters>39403</Characters>
  <Lines>0</Lines>
  <Paragraphs>0</Paragraphs>
  <TotalTime>0</TotalTime>
  <ScaleCrop>false</ScaleCrop>
  <LinksUpToDate>false</LinksUpToDate>
  <CharactersWithSpaces>39483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2023-01-18T01:31:00Z</dcterms:created>
  <dc:creator>康上华</dc:creator>
  <cp:lastModifiedBy>招标代理-审</cp:lastModifiedBy>
  <cp:lastPrinted>2024-01-16T01:18:00Z</cp:lastPrinted>
  <dcterms:modified xsi:type="dcterms:W3CDTF">2024-02-01T06:14:09Z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4899B6F2E9074505A86696D0C01ED74D_13</vt:lpwstr>
  </property>
</Properties>
</file>